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92794D">
      <w:pPr>
        <w:spacing w:line="360" w:lineRule="auto"/>
        <w:jc w:val="center"/>
        <w:rPr>
          <w:rFonts w:ascii="Times New Roman" w:hAnsi="Times New Roman"/>
          <w:b/>
          <w:color w:val="auto"/>
          <w:sz w:val="48"/>
          <w:szCs w:val="48"/>
          <w:highlight w:val="none"/>
        </w:rPr>
      </w:pPr>
      <w:bookmarkStart w:id="0" w:name="OLE_LINK86"/>
      <w:r>
        <w:rPr>
          <w:rFonts w:hint="eastAsia" w:ascii="Times New Roman" w:hAnsi="Times New Roman"/>
          <w:b/>
          <w:color w:val="auto"/>
          <w:sz w:val="48"/>
          <w:szCs w:val="48"/>
          <w:highlight w:val="none"/>
        </w:rPr>
        <w:t>灵宝市气象局灵宝市气象业务能力提升工程</w:t>
      </w:r>
      <w:r>
        <w:rPr>
          <w:rFonts w:ascii="Times New Roman" w:hAnsi="Times New Roman"/>
          <w:b/>
          <w:color w:val="auto"/>
          <w:sz w:val="48"/>
          <w:szCs w:val="48"/>
          <w:highlight w:val="none"/>
        </w:rPr>
        <w:t>X</w:t>
      </w:r>
      <w:r>
        <w:rPr>
          <w:rFonts w:hint="eastAsia" w:ascii="Times New Roman" w:hAnsi="Times New Roman"/>
          <w:b/>
          <w:color w:val="auto"/>
          <w:sz w:val="48"/>
          <w:szCs w:val="48"/>
          <w:highlight w:val="none"/>
        </w:rPr>
        <w:t>波段相控阵天气雷达采购项目</w:t>
      </w:r>
    </w:p>
    <w:bookmarkEnd w:id="0"/>
    <w:p w14:paraId="57C0DCB4">
      <w:pPr>
        <w:spacing w:line="480" w:lineRule="auto"/>
        <w:ind w:firstLine="480" w:firstLineChars="200"/>
        <w:jc w:val="center"/>
        <w:rPr>
          <w:rFonts w:ascii="Times New Roman" w:hAnsi="Times New Roman" w:eastAsia="@汉仪中黑 197"/>
          <w:color w:val="auto"/>
          <w:sz w:val="24"/>
          <w:szCs w:val="24"/>
          <w:highlight w:val="none"/>
          <w:lang w:bidi="ar"/>
        </w:rPr>
      </w:pPr>
    </w:p>
    <w:p w14:paraId="47DDB684">
      <w:pPr>
        <w:jc w:val="center"/>
        <w:rPr>
          <w:rFonts w:ascii="Times New Roman" w:hAnsi="Times New Roman"/>
          <w:b/>
          <w:color w:val="auto"/>
          <w:sz w:val="72"/>
          <w:szCs w:val="44"/>
          <w:highlight w:val="none"/>
        </w:rPr>
      </w:pPr>
      <w:r>
        <w:rPr>
          <w:rFonts w:hint="eastAsia" w:ascii="Times New Roman" w:hAnsi="Times New Roman"/>
          <w:b/>
          <w:color w:val="auto"/>
          <w:sz w:val="72"/>
          <w:szCs w:val="44"/>
          <w:highlight w:val="none"/>
        </w:rPr>
        <w:t>招</w:t>
      </w:r>
      <w:r>
        <w:rPr>
          <w:rFonts w:ascii="Times New Roman" w:hAnsi="Times New Roman"/>
          <w:b/>
          <w:color w:val="auto"/>
          <w:sz w:val="72"/>
          <w:szCs w:val="44"/>
          <w:highlight w:val="none"/>
        </w:rPr>
        <w:t xml:space="preserve"> </w:t>
      </w:r>
      <w:r>
        <w:rPr>
          <w:rFonts w:hint="eastAsia" w:ascii="Times New Roman" w:hAnsi="Times New Roman"/>
          <w:b/>
          <w:color w:val="auto"/>
          <w:sz w:val="72"/>
          <w:szCs w:val="44"/>
          <w:highlight w:val="none"/>
        </w:rPr>
        <w:t>标</w:t>
      </w:r>
      <w:r>
        <w:rPr>
          <w:rFonts w:ascii="Times New Roman" w:hAnsi="Times New Roman"/>
          <w:b/>
          <w:color w:val="auto"/>
          <w:sz w:val="72"/>
          <w:szCs w:val="44"/>
          <w:highlight w:val="none"/>
        </w:rPr>
        <w:t xml:space="preserve"> </w:t>
      </w:r>
      <w:r>
        <w:rPr>
          <w:rFonts w:hint="eastAsia" w:ascii="Times New Roman" w:hAnsi="Times New Roman"/>
          <w:b/>
          <w:color w:val="auto"/>
          <w:sz w:val="72"/>
          <w:szCs w:val="44"/>
          <w:highlight w:val="none"/>
        </w:rPr>
        <w:t>文</w:t>
      </w:r>
      <w:r>
        <w:rPr>
          <w:rFonts w:ascii="Times New Roman" w:hAnsi="Times New Roman"/>
          <w:b/>
          <w:color w:val="auto"/>
          <w:sz w:val="72"/>
          <w:szCs w:val="44"/>
          <w:highlight w:val="none"/>
        </w:rPr>
        <w:t xml:space="preserve"> </w:t>
      </w:r>
      <w:r>
        <w:rPr>
          <w:rFonts w:hint="eastAsia" w:ascii="Times New Roman" w:hAnsi="Times New Roman"/>
          <w:b/>
          <w:color w:val="auto"/>
          <w:sz w:val="72"/>
          <w:szCs w:val="44"/>
          <w:highlight w:val="none"/>
        </w:rPr>
        <w:t>件</w:t>
      </w:r>
    </w:p>
    <w:p w14:paraId="1D855572">
      <w:pPr>
        <w:spacing w:line="360" w:lineRule="auto"/>
        <w:jc w:val="center"/>
        <w:rPr>
          <w:rFonts w:ascii="Times New Roman" w:hAnsi="Times New Roman"/>
          <w:color w:val="auto"/>
          <w:sz w:val="24"/>
          <w:szCs w:val="28"/>
          <w:highlight w:val="none"/>
        </w:rPr>
      </w:pPr>
      <w:r>
        <w:rPr>
          <w:rFonts w:hint="eastAsia" w:ascii="Times New Roman" w:hAnsi="Times New Roman"/>
          <w:b/>
          <w:color w:val="auto"/>
          <w:sz w:val="24"/>
          <w:szCs w:val="28"/>
          <w:highlight w:val="none"/>
        </w:rPr>
        <w:t>项目编号：LBGZ[2025]238-ZC180、灵宝公开采购-2025-49</w:t>
      </w:r>
    </w:p>
    <w:p w14:paraId="397425D3">
      <w:pPr>
        <w:jc w:val="center"/>
        <w:rPr>
          <w:rFonts w:ascii="Times New Roman" w:hAnsi="Times New Roman" w:eastAsia="@汉仪中黑 197"/>
          <w:color w:val="auto"/>
          <w:szCs w:val="24"/>
          <w:highlight w:val="none"/>
        </w:rPr>
      </w:pPr>
    </w:p>
    <w:p w14:paraId="6E93ED7E">
      <w:pPr>
        <w:jc w:val="center"/>
        <w:rPr>
          <w:rFonts w:ascii="Times New Roman" w:hAnsi="Times New Roman" w:eastAsia="@汉仪中黑 197"/>
          <w:color w:val="auto"/>
          <w:szCs w:val="24"/>
          <w:highlight w:val="none"/>
        </w:rPr>
      </w:pPr>
    </w:p>
    <w:p w14:paraId="1B0D4F17">
      <w:pPr>
        <w:jc w:val="center"/>
        <w:rPr>
          <w:rFonts w:ascii="Times New Roman" w:hAnsi="Times New Roman" w:eastAsia="@汉仪中黑 197"/>
          <w:color w:val="auto"/>
          <w:szCs w:val="24"/>
          <w:highlight w:val="none"/>
        </w:rPr>
      </w:pPr>
      <w:bookmarkStart w:id="529" w:name="_GoBack"/>
      <w:r>
        <w:rPr>
          <w:rFonts w:ascii="Times New Roman" w:hAnsi="Times New Roman"/>
          <w:b/>
          <w:color w:val="auto"/>
          <w:sz w:val="30"/>
          <w:szCs w:val="30"/>
          <w:highlight w:val="none"/>
        </w:rPr>
        <w:drawing>
          <wp:anchor distT="0" distB="0" distL="114300" distR="114300" simplePos="0" relativeHeight="251661312" behindDoc="0" locked="0" layoutInCell="1" allowOverlap="1">
            <wp:simplePos x="0" y="0"/>
            <wp:positionH relativeFrom="column">
              <wp:posOffset>1437640</wp:posOffset>
            </wp:positionH>
            <wp:positionV relativeFrom="paragraph">
              <wp:posOffset>207010</wp:posOffset>
            </wp:positionV>
            <wp:extent cx="2585085" cy="2464435"/>
            <wp:effectExtent l="0" t="0" r="5715" b="4445"/>
            <wp:wrapTopAndBottom/>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3"/>
                    <a:stretch>
                      <a:fillRect/>
                    </a:stretch>
                  </pic:blipFill>
                  <pic:spPr>
                    <a:xfrm>
                      <a:off x="0" y="0"/>
                      <a:ext cx="2585085" cy="2464435"/>
                    </a:xfrm>
                    <a:prstGeom prst="rect">
                      <a:avLst/>
                    </a:prstGeom>
                    <a:noFill/>
                    <a:ln>
                      <a:noFill/>
                    </a:ln>
                  </pic:spPr>
                </pic:pic>
              </a:graphicData>
            </a:graphic>
          </wp:anchor>
        </w:drawing>
      </w:r>
      <w:bookmarkEnd w:id="529"/>
    </w:p>
    <w:p w14:paraId="044CD790">
      <w:pPr>
        <w:spacing w:line="360" w:lineRule="auto"/>
        <w:ind w:firstLine="400" w:firstLineChars="200"/>
        <w:jc w:val="left"/>
        <w:rPr>
          <w:rFonts w:ascii="Times New Roman" w:hAnsi="Times New Roman" w:eastAsia="@汉仪中黑 197"/>
          <w:color w:val="auto"/>
          <w:kern w:val="0"/>
          <w:sz w:val="20"/>
          <w:szCs w:val="20"/>
          <w:highlight w:val="none"/>
        </w:rPr>
      </w:pPr>
    </w:p>
    <w:p w14:paraId="367E1914">
      <w:pPr>
        <w:spacing w:line="360" w:lineRule="auto"/>
        <w:ind w:firstLine="851" w:firstLineChars="265"/>
        <w:rPr>
          <w:rFonts w:ascii="Times New Roman" w:hAnsi="Times New Roman"/>
          <w:b/>
          <w:color w:val="auto"/>
          <w:sz w:val="32"/>
          <w:szCs w:val="32"/>
          <w:highlight w:val="none"/>
        </w:rPr>
      </w:pPr>
      <w:r>
        <w:rPr>
          <w:rFonts w:hint="eastAsia" w:ascii="Times New Roman" w:hAnsi="Times New Roman"/>
          <w:b/>
          <w:color w:val="auto"/>
          <w:sz w:val="32"/>
          <w:szCs w:val="32"/>
          <w:highlight w:val="none"/>
        </w:rPr>
        <w:t>采</w:t>
      </w:r>
      <w:r>
        <w:rPr>
          <w:rFonts w:ascii="Times New Roman" w:hAnsi="Times New Roman"/>
          <w:b/>
          <w:color w:val="auto"/>
          <w:sz w:val="32"/>
          <w:szCs w:val="32"/>
          <w:highlight w:val="none"/>
        </w:rPr>
        <w:t xml:space="preserve">   </w:t>
      </w:r>
      <w:r>
        <w:rPr>
          <w:rFonts w:hint="eastAsia" w:ascii="Times New Roman" w:hAnsi="Times New Roman"/>
          <w:b/>
          <w:color w:val="auto"/>
          <w:sz w:val="32"/>
          <w:szCs w:val="32"/>
          <w:highlight w:val="none"/>
        </w:rPr>
        <w:t>购</w:t>
      </w:r>
      <w:r>
        <w:rPr>
          <w:rFonts w:ascii="Times New Roman" w:hAnsi="Times New Roman"/>
          <w:b/>
          <w:color w:val="auto"/>
          <w:sz w:val="32"/>
          <w:szCs w:val="32"/>
          <w:highlight w:val="none"/>
        </w:rPr>
        <w:t xml:space="preserve">   </w:t>
      </w:r>
      <w:r>
        <w:rPr>
          <w:rFonts w:hint="eastAsia" w:ascii="Times New Roman" w:hAnsi="Times New Roman"/>
          <w:b/>
          <w:color w:val="auto"/>
          <w:sz w:val="32"/>
          <w:szCs w:val="32"/>
          <w:highlight w:val="none"/>
        </w:rPr>
        <w:t>人：灵宝市气象局</w:t>
      </w:r>
    </w:p>
    <w:p w14:paraId="34A40F81">
      <w:pPr>
        <w:spacing w:line="360" w:lineRule="auto"/>
        <w:ind w:firstLine="851" w:firstLineChars="265"/>
        <w:rPr>
          <w:rFonts w:ascii="Times New Roman" w:hAnsi="Times New Roman"/>
          <w:b/>
          <w:color w:val="auto"/>
          <w:sz w:val="32"/>
          <w:szCs w:val="32"/>
          <w:highlight w:val="none"/>
        </w:rPr>
      </w:pPr>
      <w:r>
        <w:rPr>
          <w:rFonts w:ascii="Times New Roman" w:hAnsi="Times New Roman"/>
          <w:b/>
          <w:color w:val="auto"/>
          <w:sz w:val="32"/>
          <w:szCs w:val="32"/>
          <w:highlight w:val="none"/>
        </w:rPr>
        <w:t>采购代理机构：河南坤源工程咨询管理有限公司</w:t>
      </w:r>
    </w:p>
    <w:p w14:paraId="6C9DB96B">
      <w:pPr>
        <w:spacing w:line="360" w:lineRule="auto"/>
        <w:ind w:firstLine="851" w:firstLineChars="265"/>
        <w:rPr>
          <w:rFonts w:ascii="Times New Roman" w:hAnsi="Times New Roman"/>
          <w:b/>
          <w:color w:val="auto"/>
          <w:sz w:val="32"/>
          <w:szCs w:val="32"/>
          <w:highlight w:val="none"/>
        </w:rPr>
      </w:pPr>
      <w:r>
        <w:rPr>
          <w:rFonts w:hint="eastAsia" w:ascii="Times New Roman" w:hAnsi="Times New Roman"/>
          <w:b/>
          <w:color w:val="auto"/>
          <w:sz w:val="32"/>
          <w:szCs w:val="32"/>
          <w:highlight w:val="none"/>
        </w:rPr>
        <w:t>编制时间：二〇二五年八月</w:t>
      </w:r>
    </w:p>
    <w:p w14:paraId="7334C705">
      <w:pPr>
        <w:spacing w:line="360" w:lineRule="auto"/>
        <w:ind w:firstLine="199" w:firstLineChars="62"/>
        <w:jc w:val="center"/>
        <w:rPr>
          <w:rFonts w:ascii="Times New Roman" w:hAnsi="Times New Roman"/>
          <w:b/>
          <w:bCs/>
          <w:color w:val="auto"/>
          <w:sz w:val="32"/>
          <w:szCs w:val="32"/>
          <w:highlight w:val="none"/>
          <w:shd w:val="clear" w:color="auto" w:fill="FFFFFF"/>
        </w:rPr>
      </w:pPr>
      <w:bookmarkStart w:id="1" w:name="_Toc151209860"/>
      <w:bookmarkStart w:id="2" w:name="_Toc113892407"/>
      <w:bookmarkStart w:id="3" w:name="_Toc113891895"/>
      <w:bookmarkStart w:id="4" w:name="_Toc108777066"/>
      <w:bookmarkStart w:id="5" w:name="_Toc108777254"/>
      <w:bookmarkStart w:id="6" w:name="_Toc108777129"/>
    </w:p>
    <w:p w14:paraId="043E8464">
      <w:pPr>
        <w:spacing w:line="360" w:lineRule="auto"/>
        <w:ind w:firstLine="199" w:firstLineChars="62"/>
        <w:jc w:val="center"/>
        <w:rPr>
          <w:rFonts w:ascii="Times New Roman" w:hAnsi="Times New Roman"/>
          <w:b/>
          <w:bCs/>
          <w:color w:val="auto"/>
          <w:sz w:val="32"/>
          <w:szCs w:val="32"/>
          <w:highlight w:val="none"/>
          <w:shd w:val="clear" w:color="auto" w:fill="FFFFFF"/>
        </w:rPr>
        <w:sectPr>
          <w:footerReference r:id="rId7" w:type="first"/>
          <w:headerReference r:id="rId3" w:type="default"/>
          <w:footerReference r:id="rId5" w:type="default"/>
          <w:headerReference r:id="rId4" w:type="even"/>
          <w:footerReference r:id="rId6" w:type="even"/>
          <w:pgSz w:w="11906" w:h="16838"/>
          <w:pgMar w:top="1440" w:right="1946" w:bottom="1440" w:left="1560" w:header="851" w:footer="737" w:gutter="0"/>
          <w:pgNumType w:start="1"/>
          <w:cols w:space="720" w:num="1"/>
          <w:titlePg/>
          <w:docGrid w:type="lines" w:linePitch="381" w:charSpace="0"/>
        </w:sectPr>
      </w:pPr>
    </w:p>
    <w:p w14:paraId="618F1F19">
      <w:pPr>
        <w:spacing w:line="360" w:lineRule="auto"/>
        <w:ind w:firstLine="199" w:firstLineChars="62"/>
        <w:jc w:val="center"/>
        <w:rPr>
          <w:rFonts w:ascii="Times New Roman" w:hAnsi="Times New Roman"/>
          <w:b/>
          <w:bCs/>
          <w:color w:val="auto"/>
          <w:sz w:val="32"/>
          <w:szCs w:val="32"/>
          <w:highlight w:val="none"/>
          <w:shd w:val="clear" w:color="auto" w:fill="FFFFFF"/>
        </w:rPr>
      </w:pPr>
      <w:r>
        <w:rPr>
          <w:rFonts w:hint="eastAsia" w:ascii="Times New Roman" w:hAnsi="Times New Roman"/>
          <w:b/>
          <w:bCs/>
          <w:color w:val="auto"/>
          <w:sz w:val="32"/>
          <w:szCs w:val="32"/>
          <w:highlight w:val="none"/>
          <w:shd w:val="clear" w:color="auto" w:fill="FFFFFF"/>
        </w:rPr>
        <w:t>目</w:t>
      </w:r>
      <w:r>
        <w:rPr>
          <w:rFonts w:ascii="Times New Roman" w:hAnsi="Times New Roman"/>
          <w:b/>
          <w:bCs/>
          <w:color w:val="auto"/>
          <w:sz w:val="32"/>
          <w:szCs w:val="32"/>
          <w:highlight w:val="none"/>
          <w:shd w:val="clear" w:color="auto" w:fill="FFFFFF"/>
        </w:rPr>
        <w:t xml:space="preserve">  </w:t>
      </w:r>
      <w:r>
        <w:rPr>
          <w:rFonts w:hint="eastAsia" w:ascii="Times New Roman" w:hAnsi="Times New Roman"/>
          <w:b/>
          <w:bCs/>
          <w:color w:val="auto"/>
          <w:sz w:val="32"/>
          <w:szCs w:val="32"/>
          <w:highlight w:val="none"/>
          <w:shd w:val="clear" w:color="auto" w:fill="FFFFFF"/>
        </w:rPr>
        <w:t>录</w:t>
      </w:r>
      <w:bookmarkEnd w:id="1"/>
      <w:bookmarkEnd w:id="2"/>
      <w:bookmarkEnd w:id="3"/>
    </w:p>
    <w:p w14:paraId="303C00B3">
      <w:pPr>
        <w:pStyle w:val="8"/>
        <w:tabs>
          <w:tab w:val="right" w:leader="dot" w:pos="8778"/>
        </w:tabs>
        <w:spacing w:before="0" w:after="0" w:line="480" w:lineRule="auto"/>
        <w:ind w:firstLine="280" w:firstLineChars="100"/>
        <w:rPr>
          <w:rFonts w:eastAsia="宋体" w:cs="Times New Roman"/>
          <w:bCs w:val="0"/>
          <w:caps w:val="0"/>
          <w:color w:val="auto"/>
          <w:sz w:val="28"/>
          <w:szCs w:val="28"/>
          <w:highlight w:val="none"/>
        </w:rPr>
      </w:pPr>
      <w:r>
        <w:rPr>
          <w:rFonts w:hint="eastAsia" w:eastAsia="宋体" w:cs="Times New Roman"/>
          <w:b w:val="0"/>
          <w:bCs w:val="0"/>
          <w:iCs/>
          <w:caps w:val="0"/>
          <w:smallCaps/>
          <w:color w:val="auto"/>
          <w:sz w:val="28"/>
          <w:szCs w:val="28"/>
          <w:highlight w:val="none"/>
          <w:shd w:val="clear" w:color="auto" w:fill="FFFFFF"/>
        </w:rPr>
        <w:fldChar w:fldCharType="begin"/>
      </w:r>
      <w:r>
        <w:rPr>
          <w:rFonts w:eastAsia="宋体" w:cs="Times New Roman"/>
          <w:b w:val="0"/>
          <w:bCs w:val="0"/>
          <w:iCs/>
          <w:caps w:val="0"/>
          <w:smallCaps/>
          <w:color w:val="auto"/>
          <w:sz w:val="28"/>
          <w:szCs w:val="28"/>
          <w:highlight w:val="none"/>
          <w:shd w:val="clear" w:color="auto" w:fill="FFFFFF"/>
        </w:rPr>
        <w:instrText xml:space="preserve"> TOC \o "1-3" \h \z \u </w:instrText>
      </w:r>
      <w:r>
        <w:rPr>
          <w:rFonts w:hint="eastAsia" w:eastAsia="宋体" w:cs="Times New Roman"/>
          <w:b w:val="0"/>
          <w:bCs w:val="0"/>
          <w:iCs/>
          <w:caps w:val="0"/>
          <w:smallCaps/>
          <w:color w:val="auto"/>
          <w:sz w:val="28"/>
          <w:szCs w:val="28"/>
          <w:highlight w:val="none"/>
          <w:shd w:val="clear" w:color="auto" w:fill="FFFFFF"/>
        </w:rPr>
        <w:fldChar w:fldCharType="separate"/>
      </w:r>
      <w:r>
        <w:rPr>
          <w:color w:val="auto"/>
          <w:highlight w:val="none"/>
        </w:rPr>
        <w:fldChar w:fldCharType="begin"/>
      </w:r>
      <w:r>
        <w:rPr>
          <w:color w:val="auto"/>
          <w:highlight w:val="none"/>
        </w:rPr>
        <w:instrText xml:space="preserve"> HYPERLINK \l "_Toc176358315" </w:instrText>
      </w:r>
      <w:r>
        <w:rPr>
          <w:color w:val="auto"/>
          <w:highlight w:val="none"/>
        </w:rPr>
        <w:fldChar w:fldCharType="separate"/>
      </w:r>
      <w:r>
        <w:rPr>
          <w:rStyle w:val="15"/>
          <w:rFonts w:hint="eastAsia" w:eastAsia="宋体" w:cs="Times New Roman"/>
          <w:color w:val="auto"/>
          <w:sz w:val="28"/>
          <w:szCs w:val="28"/>
          <w:highlight w:val="none"/>
          <w:shd w:val="clear" w:color="auto" w:fill="FFFFFF"/>
        </w:rPr>
        <w:t>第一章</w:t>
      </w:r>
      <w:r>
        <w:rPr>
          <w:rStyle w:val="15"/>
          <w:rFonts w:eastAsia="宋体" w:cs="Times New Roman"/>
          <w:color w:val="auto"/>
          <w:sz w:val="28"/>
          <w:szCs w:val="28"/>
          <w:highlight w:val="none"/>
          <w:shd w:val="clear" w:color="auto" w:fill="FFFFFF"/>
        </w:rPr>
        <w:t xml:space="preserve"> </w:t>
      </w:r>
      <w:r>
        <w:rPr>
          <w:rStyle w:val="15"/>
          <w:rFonts w:hint="eastAsia" w:eastAsia="宋体" w:cs="Times New Roman"/>
          <w:color w:val="auto"/>
          <w:sz w:val="28"/>
          <w:szCs w:val="28"/>
          <w:highlight w:val="none"/>
          <w:shd w:val="clear" w:color="auto" w:fill="FFFFFF"/>
        </w:rPr>
        <w:t>招标公告</w:t>
      </w:r>
      <w:r>
        <w:rPr>
          <w:rFonts w:eastAsia="宋体" w:cs="Times New Roman"/>
          <w:color w:val="auto"/>
          <w:sz w:val="28"/>
          <w:szCs w:val="28"/>
          <w:highlight w:val="none"/>
        </w:rPr>
        <w:tab/>
      </w:r>
      <w:r>
        <w:rPr>
          <w:rFonts w:eastAsia="宋体" w:cs="Times New Roman"/>
          <w:color w:val="auto"/>
          <w:sz w:val="28"/>
          <w:szCs w:val="28"/>
          <w:highlight w:val="none"/>
        </w:rPr>
        <w:fldChar w:fldCharType="begin"/>
      </w:r>
      <w:r>
        <w:rPr>
          <w:rFonts w:eastAsia="宋体" w:cs="Times New Roman"/>
          <w:color w:val="auto"/>
          <w:sz w:val="28"/>
          <w:szCs w:val="28"/>
          <w:highlight w:val="none"/>
        </w:rPr>
        <w:instrText xml:space="preserve"> PAGEREF _Toc176358315 \h </w:instrText>
      </w:r>
      <w:r>
        <w:rPr>
          <w:rFonts w:eastAsia="宋体" w:cs="Times New Roman"/>
          <w:color w:val="auto"/>
          <w:sz w:val="28"/>
          <w:szCs w:val="28"/>
          <w:highlight w:val="none"/>
        </w:rPr>
        <w:fldChar w:fldCharType="separate"/>
      </w:r>
      <w:r>
        <w:rPr>
          <w:rFonts w:eastAsia="宋体" w:cs="Times New Roman"/>
          <w:color w:val="auto"/>
          <w:sz w:val="28"/>
          <w:szCs w:val="28"/>
          <w:highlight w:val="none"/>
        </w:rPr>
        <w:t>1</w:t>
      </w:r>
      <w:r>
        <w:rPr>
          <w:rFonts w:eastAsia="宋体" w:cs="Times New Roman"/>
          <w:color w:val="auto"/>
          <w:sz w:val="28"/>
          <w:szCs w:val="28"/>
          <w:highlight w:val="none"/>
        </w:rPr>
        <w:fldChar w:fldCharType="end"/>
      </w:r>
      <w:r>
        <w:rPr>
          <w:rFonts w:eastAsia="宋体" w:cs="Times New Roman"/>
          <w:color w:val="auto"/>
          <w:sz w:val="28"/>
          <w:szCs w:val="28"/>
          <w:highlight w:val="none"/>
        </w:rPr>
        <w:fldChar w:fldCharType="end"/>
      </w:r>
    </w:p>
    <w:p w14:paraId="4EC6473F">
      <w:pPr>
        <w:pStyle w:val="8"/>
        <w:tabs>
          <w:tab w:val="right" w:leader="dot" w:pos="8778"/>
        </w:tabs>
        <w:spacing w:before="0" w:after="0" w:line="480" w:lineRule="auto"/>
        <w:ind w:firstLine="200" w:firstLineChars="100"/>
        <w:rPr>
          <w:rFonts w:eastAsia="宋体" w:cs="Times New Roman"/>
          <w:bCs w:val="0"/>
          <w:caps w:val="0"/>
          <w:color w:val="auto"/>
          <w:sz w:val="28"/>
          <w:szCs w:val="28"/>
          <w:highlight w:val="none"/>
        </w:rPr>
      </w:pPr>
      <w:r>
        <w:rPr>
          <w:color w:val="auto"/>
          <w:highlight w:val="none"/>
        </w:rPr>
        <w:fldChar w:fldCharType="begin"/>
      </w:r>
      <w:r>
        <w:rPr>
          <w:color w:val="auto"/>
          <w:highlight w:val="none"/>
        </w:rPr>
        <w:instrText xml:space="preserve"> HYPERLINK \l "_Toc176358316" </w:instrText>
      </w:r>
      <w:r>
        <w:rPr>
          <w:color w:val="auto"/>
          <w:highlight w:val="none"/>
        </w:rPr>
        <w:fldChar w:fldCharType="separate"/>
      </w:r>
      <w:r>
        <w:rPr>
          <w:rStyle w:val="15"/>
          <w:rFonts w:hint="eastAsia" w:eastAsia="宋体" w:cs="Times New Roman"/>
          <w:color w:val="auto"/>
          <w:sz w:val="28"/>
          <w:szCs w:val="28"/>
          <w:highlight w:val="none"/>
          <w:shd w:val="clear" w:color="auto" w:fill="FFFFFF"/>
        </w:rPr>
        <w:t>第二章</w:t>
      </w:r>
      <w:r>
        <w:rPr>
          <w:rStyle w:val="15"/>
          <w:rFonts w:eastAsia="宋体" w:cs="Times New Roman"/>
          <w:color w:val="auto"/>
          <w:sz w:val="28"/>
          <w:szCs w:val="28"/>
          <w:highlight w:val="none"/>
          <w:shd w:val="clear" w:color="auto" w:fill="FFFFFF"/>
        </w:rPr>
        <w:t xml:space="preserve"> </w:t>
      </w:r>
      <w:r>
        <w:rPr>
          <w:rStyle w:val="15"/>
          <w:rFonts w:hint="eastAsia" w:eastAsia="宋体" w:cs="Times New Roman"/>
          <w:color w:val="auto"/>
          <w:sz w:val="28"/>
          <w:szCs w:val="28"/>
          <w:highlight w:val="none"/>
          <w:shd w:val="clear" w:color="auto" w:fill="FFFFFF"/>
        </w:rPr>
        <w:t>供应商须知</w:t>
      </w:r>
      <w:r>
        <w:rPr>
          <w:rFonts w:eastAsia="宋体" w:cs="Times New Roman"/>
          <w:color w:val="auto"/>
          <w:sz w:val="28"/>
          <w:szCs w:val="28"/>
          <w:highlight w:val="none"/>
        </w:rPr>
        <w:tab/>
      </w:r>
      <w:r>
        <w:rPr>
          <w:rFonts w:eastAsia="宋体" w:cs="Times New Roman"/>
          <w:color w:val="auto"/>
          <w:sz w:val="28"/>
          <w:szCs w:val="28"/>
          <w:highlight w:val="none"/>
        </w:rPr>
        <w:fldChar w:fldCharType="begin"/>
      </w:r>
      <w:r>
        <w:rPr>
          <w:rFonts w:eastAsia="宋体" w:cs="Times New Roman"/>
          <w:color w:val="auto"/>
          <w:sz w:val="28"/>
          <w:szCs w:val="28"/>
          <w:highlight w:val="none"/>
        </w:rPr>
        <w:instrText xml:space="preserve"> PAGEREF _Toc176358316 \h </w:instrText>
      </w:r>
      <w:r>
        <w:rPr>
          <w:rFonts w:eastAsia="宋体" w:cs="Times New Roman"/>
          <w:color w:val="auto"/>
          <w:sz w:val="28"/>
          <w:szCs w:val="28"/>
          <w:highlight w:val="none"/>
        </w:rPr>
        <w:fldChar w:fldCharType="separate"/>
      </w:r>
      <w:r>
        <w:rPr>
          <w:rFonts w:eastAsia="宋体" w:cs="Times New Roman"/>
          <w:color w:val="auto"/>
          <w:sz w:val="28"/>
          <w:szCs w:val="28"/>
          <w:highlight w:val="none"/>
        </w:rPr>
        <w:t>4</w:t>
      </w:r>
      <w:r>
        <w:rPr>
          <w:rFonts w:eastAsia="宋体" w:cs="Times New Roman"/>
          <w:color w:val="auto"/>
          <w:sz w:val="28"/>
          <w:szCs w:val="28"/>
          <w:highlight w:val="none"/>
        </w:rPr>
        <w:fldChar w:fldCharType="end"/>
      </w:r>
      <w:r>
        <w:rPr>
          <w:rFonts w:eastAsia="宋体" w:cs="Times New Roman"/>
          <w:color w:val="auto"/>
          <w:sz w:val="28"/>
          <w:szCs w:val="28"/>
          <w:highlight w:val="none"/>
        </w:rPr>
        <w:fldChar w:fldCharType="end"/>
      </w:r>
    </w:p>
    <w:p w14:paraId="15D0F11D">
      <w:pPr>
        <w:pStyle w:val="8"/>
        <w:tabs>
          <w:tab w:val="right" w:leader="dot" w:pos="8778"/>
        </w:tabs>
        <w:spacing w:before="0" w:after="0" w:line="480" w:lineRule="auto"/>
        <w:ind w:firstLine="200" w:firstLineChars="100"/>
        <w:rPr>
          <w:rFonts w:eastAsia="宋体" w:cs="Times New Roman"/>
          <w:bCs w:val="0"/>
          <w:caps w:val="0"/>
          <w:color w:val="auto"/>
          <w:sz w:val="28"/>
          <w:szCs w:val="28"/>
          <w:highlight w:val="none"/>
        </w:rPr>
      </w:pPr>
      <w:r>
        <w:rPr>
          <w:color w:val="auto"/>
          <w:highlight w:val="none"/>
        </w:rPr>
        <w:fldChar w:fldCharType="begin"/>
      </w:r>
      <w:r>
        <w:rPr>
          <w:color w:val="auto"/>
          <w:highlight w:val="none"/>
        </w:rPr>
        <w:instrText xml:space="preserve"> HYPERLINK \l "_Toc176358366" </w:instrText>
      </w:r>
      <w:r>
        <w:rPr>
          <w:color w:val="auto"/>
          <w:highlight w:val="none"/>
        </w:rPr>
        <w:fldChar w:fldCharType="separate"/>
      </w:r>
      <w:r>
        <w:rPr>
          <w:rStyle w:val="15"/>
          <w:rFonts w:hint="eastAsia" w:eastAsia="宋体" w:cs="Times New Roman"/>
          <w:color w:val="auto"/>
          <w:sz w:val="28"/>
          <w:szCs w:val="28"/>
          <w:highlight w:val="none"/>
          <w:shd w:val="clear" w:color="auto" w:fill="FFFFFF"/>
        </w:rPr>
        <w:t>第三章</w:t>
      </w:r>
      <w:r>
        <w:rPr>
          <w:rStyle w:val="15"/>
          <w:rFonts w:eastAsia="宋体" w:cs="Times New Roman"/>
          <w:color w:val="auto"/>
          <w:sz w:val="28"/>
          <w:szCs w:val="28"/>
          <w:highlight w:val="none"/>
          <w:shd w:val="clear" w:color="auto" w:fill="FFFFFF"/>
        </w:rPr>
        <w:t xml:space="preserve"> </w:t>
      </w:r>
      <w:r>
        <w:rPr>
          <w:rStyle w:val="15"/>
          <w:rFonts w:hint="eastAsia" w:eastAsia="宋体" w:cs="Times New Roman"/>
          <w:color w:val="auto"/>
          <w:sz w:val="28"/>
          <w:szCs w:val="28"/>
          <w:highlight w:val="none"/>
          <w:shd w:val="clear" w:color="auto" w:fill="FFFFFF"/>
        </w:rPr>
        <w:t>采购内容及参数要求</w:t>
      </w:r>
      <w:r>
        <w:rPr>
          <w:rFonts w:eastAsia="宋体" w:cs="Times New Roman"/>
          <w:color w:val="auto"/>
          <w:sz w:val="28"/>
          <w:szCs w:val="28"/>
          <w:highlight w:val="none"/>
        </w:rPr>
        <w:tab/>
      </w:r>
      <w:r>
        <w:rPr>
          <w:rFonts w:eastAsia="宋体" w:cs="Times New Roman"/>
          <w:color w:val="auto"/>
          <w:sz w:val="28"/>
          <w:szCs w:val="28"/>
          <w:highlight w:val="none"/>
        </w:rPr>
        <w:fldChar w:fldCharType="begin"/>
      </w:r>
      <w:r>
        <w:rPr>
          <w:rFonts w:eastAsia="宋体" w:cs="Times New Roman"/>
          <w:color w:val="auto"/>
          <w:sz w:val="28"/>
          <w:szCs w:val="28"/>
          <w:highlight w:val="none"/>
        </w:rPr>
        <w:instrText xml:space="preserve"> PAGEREF _Toc176358366 \h </w:instrText>
      </w:r>
      <w:r>
        <w:rPr>
          <w:rFonts w:eastAsia="宋体" w:cs="Times New Roman"/>
          <w:color w:val="auto"/>
          <w:sz w:val="28"/>
          <w:szCs w:val="28"/>
          <w:highlight w:val="none"/>
        </w:rPr>
        <w:fldChar w:fldCharType="separate"/>
      </w:r>
      <w:r>
        <w:rPr>
          <w:rFonts w:eastAsia="宋体" w:cs="Times New Roman"/>
          <w:color w:val="auto"/>
          <w:sz w:val="28"/>
          <w:szCs w:val="28"/>
          <w:highlight w:val="none"/>
        </w:rPr>
        <w:t>32</w:t>
      </w:r>
      <w:r>
        <w:rPr>
          <w:rFonts w:eastAsia="宋体" w:cs="Times New Roman"/>
          <w:color w:val="auto"/>
          <w:sz w:val="28"/>
          <w:szCs w:val="28"/>
          <w:highlight w:val="none"/>
        </w:rPr>
        <w:fldChar w:fldCharType="end"/>
      </w:r>
      <w:r>
        <w:rPr>
          <w:rFonts w:eastAsia="宋体" w:cs="Times New Roman"/>
          <w:color w:val="auto"/>
          <w:sz w:val="28"/>
          <w:szCs w:val="28"/>
          <w:highlight w:val="none"/>
        </w:rPr>
        <w:fldChar w:fldCharType="end"/>
      </w:r>
    </w:p>
    <w:p w14:paraId="6A70154A">
      <w:pPr>
        <w:pStyle w:val="8"/>
        <w:tabs>
          <w:tab w:val="right" w:leader="dot" w:pos="8778"/>
        </w:tabs>
        <w:spacing w:before="0" w:after="0" w:line="480" w:lineRule="auto"/>
        <w:ind w:firstLine="200" w:firstLineChars="100"/>
        <w:rPr>
          <w:rFonts w:eastAsia="宋体" w:cs="Times New Roman"/>
          <w:bCs w:val="0"/>
          <w:caps w:val="0"/>
          <w:color w:val="auto"/>
          <w:sz w:val="28"/>
          <w:szCs w:val="28"/>
          <w:highlight w:val="none"/>
        </w:rPr>
      </w:pPr>
      <w:r>
        <w:rPr>
          <w:color w:val="auto"/>
          <w:highlight w:val="none"/>
        </w:rPr>
        <w:fldChar w:fldCharType="begin"/>
      </w:r>
      <w:r>
        <w:rPr>
          <w:color w:val="auto"/>
          <w:highlight w:val="none"/>
        </w:rPr>
        <w:instrText xml:space="preserve"> HYPERLINK \l "_Toc176358367" </w:instrText>
      </w:r>
      <w:r>
        <w:rPr>
          <w:color w:val="auto"/>
          <w:highlight w:val="none"/>
        </w:rPr>
        <w:fldChar w:fldCharType="separate"/>
      </w:r>
      <w:r>
        <w:rPr>
          <w:rStyle w:val="15"/>
          <w:rFonts w:hint="eastAsia" w:eastAsia="宋体" w:cs="Times New Roman"/>
          <w:color w:val="auto"/>
          <w:sz w:val="28"/>
          <w:szCs w:val="28"/>
          <w:highlight w:val="none"/>
          <w:shd w:val="clear" w:color="auto" w:fill="FFFFFF"/>
        </w:rPr>
        <w:t>第四章</w:t>
      </w:r>
      <w:r>
        <w:rPr>
          <w:rStyle w:val="15"/>
          <w:rFonts w:eastAsia="宋体" w:cs="Times New Roman"/>
          <w:color w:val="auto"/>
          <w:sz w:val="28"/>
          <w:szCs w:val="28"/>
          <w:highlight w:val="none"/>
          <w:shd w:val="clear" w:color="auto" w:fill="FFFFFF"/>
        </w:rPr>
        <w:t xml:space="preserve"> </w:t>
      </w:r>
      <w:r>
        <w:rPr>
          <w:rStyle w:val="15"/>
          <w:rFonts w:hint="eastAsia" w:eastAsia="宋体" w:cs="Times New Roman"/>
          <w:color w:val="auto"/>
          <w:sz w:val="28"/>
          <w:szCs w:val="28"/>
          <w:highlight w:val="none"/>
          <w:shd w:val="clear" w:color="auto" w:fill="FFFFFF"/>
        </w:rPr>
        <w:t>评标办法</w:t>
      </w:r>
      <w:r>
        <w:rPr>
          <w:rFonts w:eastAsia="宋体" w:cs="Times New Roman"/>
          <w:color w:val="auto"/>
          <w:sz w:val="28"/>
          <w:szCs w:val="28"/>
          <w:highlight w:val="none"/>
        </w:rPr>
        <w:tab/>
      </w:r>
      <w:r>
        <w:rPr>
          <w:rFonts w:eastAsia="宋体" w:cs="Times New Roman"/>
          <w:color w:val="auto"/>
          <w:sz w:val="28"/>
          <w:szCs w:val="28"/>
          <w:highlight w:val="none"/>
        </w:rPr>
        <w:fldChar w:fldCharType="begin"/>
      </w:r>
      <w:r>
        <w:rPr>
          <w:rFonts w:eastAsia="宋体" w:cs="Times New Roman"/>
          <w:color w:val="auto"/>
          <w:sz w:val="28"/>
          <w:szCs w:val="28"/>
          <w:highlight w:val="none"/>
        </w:rPr>
        <w:instrText xml:space="preserve"> PAGEREF _Toc176358367 \h </w:instrText>
      </w:r>
      <w:r>
        <w:rPr>
          <w:rFonts w:eastAsia="宋体" w:cs="Times New Roman"/>
          <w:color w:val="auto"/>
          <w:sz w:val="28"/>
          <w:szCs w:val="28"/>
          <w:highlight w:val="none"/>
        </w:rPr>
        <w:fldChar w:fldCharType="separate"/>
      </w:r>
      <w:r>
        <w:rPr>
          <w:rFonts w:eastAsia="宋体" w:cs="Times New Roman"/>
          <w:color w:val="auto"/>
          <w:sz w:val="28"/>
          <w:szCs w:val="28"/>
          <w:highlight w:val="none"/>
        </w:rPr>
        <w:t>57</w:t>
      </w:r>
      <w:r>
        <w:rPr>
          <w:rFonts w:eastAsia="宋体" w:cs="Times New Roman"/>
          <w:color w:val="auto"/>
          <w:sz w:val="28"/>
          <w:szCs w:val="28"/>
          <w:highlight w:val="none"/>
        </w:rPr>
        <w:fldChar w:fldCharType="end"/>
      </w:r>
      <w:r>
        <w:rPr>
          <w:rFonts w:eastAsia="宋体" w:cs="Times New Roman"/>
          <w:color w:val="auto"/>
          <w:sz w:val="28"/>
          <w:szCs w:val="28"/>
          <w:highlight w:val="none"/>
        </w:rPr>
        <w:fldChar w:fldCharType="end"/>
      </w:r>
    </w:p>
    <w:p w14:paraId="5F66C879">
      <w:pPr>
        <w:pStyle w:val="8"/>
        <w:tabs>
          <w:tab w:val="right" w:leader="dot" w:pos="8778"/>
        </w:tabs>
        <w:spacing w:before="0" w:after="0" w:line="480" w:lineRule="auto"/>
        <w:ind w:firstLine="200" w:firstLineChars="100"/>
        <w:rPr>
          <w:rFonts w:eastAsia="宋体" w:cs="Times New Roman"/>
          <w:bCs w:val="0"/>
          <w:caps w:val="0"/>
          <w:color w:val="auto"/>
          <w:sz w:val="28"/>
          <w:szCs w:val="28"/>
          <w:highlight w:val="none"/>
        </w:rPr>
      </w:pPr>
      <w:r>
        <w:rPr>
          <w:color w:val="auto"/>
          <w:highlight w:val="none"/>
        </w:rPr>
        <w:fldChar w:fldCharType="begin"/>
      </w:r>
      <w:r>
        <w:rPr>
          <w:color w:val="auto"/>
          <w:highlight w:val="none"/>
        </w:rPr>
        <w:instrText xml:space="preserve"> HYPERLINK \l "_Toc176358371" </w:instrText>
      </w:r>
      <w:r>
        <w:rPr>
          <w:color w:val="auto"/>
          <w:highlight w:val="none"/>
        </w:rPr>
        <w:fldChar w:fldCharType="separate"/>
      </w:r>
      <w:r>
        <w:rPr>
          <w:rStyle w:val="15"/>
          <w:rFonts w:hint="eastAsia" w:eastAsia="宋体" w:cs="Times New Roman"/>
          <w:color w:val="auto"/>
          <w:sz w:val="28"/>
          <w:szCs w:val="28"/>
          <w:highlight w:val="none"/>
          <w:shd w:val="clear" w:color="auto" w:fill="FFFFFF"/>
        </w:rPr>
        <w:t>第五章</w:t>
      </w:r>
      <w:r>
        <w:rPr>
          <w:rStyle w:val="15"/>
          <w:rFonts w:eastAsia="宋体" w:cs="Times New Roman"/>
          <w:color w:val="auto"/>
          <w:sz w:val="28"/>
          <w:szCs w:val="28"/>
          <w:highlight w:val="none"/>
          <w:shd w:val="clear" w:color="auto" w:fill="FFFFFF"/>
        </w:rPr>
        <w:t xml:space="preserve"> </w:t>
      </w:r>
      <w:r>
        <w:rPr>
          <w:rStyle w:val="15"/>
          <w:rFonts w:hint="eastAsia" w:eastAsia="宋体" w:cs="Times New Roman"/>
          <w:color w:val="auto"/>
          <w:sz w:val="28"/>
          <w:szCs w:val="28"/>
          <w:highlight w:val="none"/>
          <w:shd w:val="clear" w:color="auto" w:fill="FFFFFF"/>
        </w:rPr>
        <w:t>合同条款及格式</w:t>
      </w:r>
      <w:r>
        <w:rPr>
          <w:rFonts w:eastAsia="宋体" w:cs="Times New Roman"/>
          <w:color w:val="auto"/>
          <w:sz w:val="28"/>
          <w:szCs w:val="28"/>
          <w:highlight w:val="none"/>
        </w:rPr>
        <w:tab/>
      </w:r>
      <w:r>
        <w:rPr>
          <w:rFonts w:eastAsia="宋体" w:cs="Times New Roman"/>
          <w:color w:val="auto"/>
          <w:sz w:val="28"/>
          <w:szCs w:val="28"/>
          <w:highlight w:val="none"/>
        </w:rPr>
        <w:fldChar w:fldCharType="begin"/>
      </w:r>
      <w:r>
        <w:rPr>
          <w:rFonts w:eastAsia="宋体" w:cs="Times New Roman"/>
          <w:color w:val="auto"/>
          <w:sz w:val="28"/>
          <w:szCs w:val="28"/>
          <w:highlight w:val="none"/>
        </w:rPr>
        <w:instrText xml:space="preserve"> PAGEREF _Toc176358371 \h </w:instrText>
      </w:r>
      <w:r>
        <w:rPr>
          <w:rFonts w:eastAsia="宋体" w:cs="Times New Roman"/>
          <w:color w:val="auto"/>
          <w:sz w:val="28"/>
          <w:szCs w:val="28"/>
          <w:highlight w:val="none"/>
        </w:rPr>
        <w:fldChar w:fldCharType="separate"/>
      </w:r>
      <w:r>
        <w:rPr>
          <w:rFonts w:eastAsia="宋体" w:cs="Times New Roman"/>
          <w:color w:val="auto"/>
          <w:sz w:val="28"/>
          <w:szCs w:val="28"/>
          <w:highlight w:val="none"/>
        </w:rPr>
        <w:t>68</w:t>
      </w:r>
      <w:r>
        <w:rPr>
          <w:rFonts w:eastAsia="宋体" w:cs="Times New Roman"/>
          <w:color w:val="auto"/>
          <w:sz w:val="28"/>
          <w:szCs w:val="28"/>
          <w:highlight w:val="none"/>
        </w:rPr>
        <w:fldChar w:fldCharType="end"/>
      </w:r>
      <w:r>
        <w:rPr>
          <w:rFonts w:eastAsia="宋体" w:cs="Times New Roman"/>
          <w:color w:val="auto"/>
          <w:sz w:val="28"/>
          <w:szCs w:val="28"/>
          <w:highlight w:val="none"/>
        </w:rPr>
        <w:fldChar w:fldCharType="end"/>
      </w:r>
    </w:p>
    <w:p w14:paraId="7FB48186">
      <w:pPr>
        <w:pStyle w:val="8"/>
        <w:tabs>
          <w:tab w:val="right" w:leader="dot" w:pos="8778"/>
        </w:tabs>
        <w:spacing w:before="0" w:after="0" w:line="480" w:lineRule="auto"/>
        <w:ind w:firstLine="200" w:firstLineChars="100"/>
        <w:rPr>
          <w:rFonts w:eastAsia="宋体" w:cs="Times New Roman"/>
          <w:b w:val="0"/>
          <w:bCs w:val="0"/>
          <w:caps w:val="0"/>
          <w:color w:val="auto"/>
          <w:sz w:val="28"/>
          <w:szCs w:val="28"/>
          <w:highlight w:val="none"/>
        </w:rPr>
      </w:pPr>
      <w:r>
        <w:rPr>
          <w:color w:val="auto"/>
          <w:highlight w:val="none"/>
        </w:rPr>
        <w:fldChar w:fldCharType="begin"/>
      </w:r>
      <w:r>
        <w:rPr>
          <w:color w:val="auto"/>
          <w:highlight w:val="none"/>
        </w:rPr>
        <w:instrText xml:space="preserve"> HYPERLINK \l "_Toc176358372" </w:instrText>
      </w:r>
      <w:r>
        <w:rPr>
          <w:color w:val="auto"/>
          <w:highlight w:val="none"/>
        </w:rPr>
        <w:fldChar w:fldCharType="separate"/>
      </w:r>
      <w:r>
        <w:rPr>
          <w:rStyle w:val="15"/>
          <w:rFonts w:hint="eastAsia" w:eastAsia="宋体" w:cs="Times New Roman"/>
          <w:color w:val="auto"/>
          <w:sz w:val="28"/>
          <w:szCs w:val="28"/>
          <w:highlight w:val="none"/>
          <w:shd w:val="clear" w:color="auto" w:fill="FFFFFF"/>
        </w:rPr>
        <w:t>第六章</w:t>
      </w:r>
      <w:r>
        <w:rPr>
          <w:rFonts w:eastAsia="宋体" w:cs="Times New Roman"/>
          <w:bCs w:val="0"/>
          <w:caps w:val="0"/>
          <w:color w:val="auto"/>
          <w:sz w:val="28"/>
          <w:szCs w:val="28"/>
          <w:highlight w:val="none"/>
        </w:rPr>
        <w:t xml:space="preserve"> </w:t>
      </w:r>
      <w:r>
        <w:rPr>
          <w:rStyle w:val="15"/>
          <w:rFonts w:hint="eastAsia" w:eastAsia="宋体" w:cs="Times New Roman"/>
          <w:color w:val="auto"/>
          <w:sz w:val="28"/>
          <w:szCs w:val="28"/>
          <w:highlight w:val="none"/>
          <w:shd w:val="clear" w:color="auto" w:fill="FFFFFF"/>
        </w:rPr>
        <w:t>投标文件格式</w:t>
      </w:r>
      <w:r>
        <w:rPr>
          <w:rFonts w:eastAsia="宋体" w:cs="Times New Roman"/>
          <w:color w:val="auto"/>
          <w:sz w:val="28"/>
          <w:szCs w:val="28"/>
          <w:highlight w:val="none"/>
        </w:rPr>
        <w:tab/>
      </w:r>
      <w:r>
        <w:rPr>
          <w:rFonts w:eastAsia="宋体" w:cs="Times New Roman"/>
          <w:color w:val="auto"/>
          <w:sz w:val="28"/>
          <w:szCs w:val="28"/>
          <w:highlight w:val="none"/>
        </w:rPr>
        <w:fldChar w:fldCharType="begin"/>
      </w:r>
      <w:r>
        <w:rPr>
          <w:rFonts w:eastAsia="宋体" w:cs="Times New Roman"/>
          <w:color w:val="auto"/>
          <w:sz w:val="28"/>
          <w:szCs w:val="28"/>
          <w:highlight w:val="none"/>
        </w:rPr>
        <w:instrText xml:space="preserve"> PAGEREF _Toc176358372 \h </w:instrText>
      </w:r>
      <w:r>
        <w:rPr>
          <w:rFonts w:eastAsia="宋体" w:cs="Times New Roman"/>
          <w:color w:val="auto"/>
          <w:sz w:val="28"/>
          <w:szCs w:val="28"/>
          <w:highlight w:val="none"/>
        </w:rPr>
        <w:fldChar w:fldCharType="separate"/>
      </w:r>
      <w:r>
        <w:rPr>
          <w:rFonts w:eastAsia="宋体" w:cs="Times New Roman"/>
          <w:color w:val="auto"/>
          <w:sz w:val="28"/>
          <w:szCs w:val="28"/>
          <w:highlight w:val="none"/>
        </w:rPr>
        <w:t>74</w:t>
      </w:r>
      <w:r>
        <w:rPr>
          <w:rFonts w:eastAsia="宋体" w:cs="Times New Roman"/>
          <w:color w:val="auto"/>
          <w:sz w:val="28"/>
          <w:szCs w:val="28"/>
          <w:highlight w:val="none"/>
        </w:rPr>
        <w:fldChar w:fldCharType="end"/>
      </w:r>
      <w:r>
        <w:rPr>
          <w:rFonts w:eastAsia="宋体" w:cs="Times New Roman"/>
          <w:color w:val="auto"/>
          <w:sz w:val="28"/>
          <w:szCs w:val="28"/>
          <w:highlight w:val="none"/>
        </w:rPr>
        <w:fldChar w:fldCharType="end"/>
      </w:r>
    </w:p>
    <w:p w14:paraId="53AF93AA">
      <w:pPr>
        <w:spacing w:line="480" w:lineRule="auto"/>
        <w:ind w:firstLine="560" w:firstLineChars="200"/>
        <w:jc w:val="left"/>
        <w:rPr>
          <w:rFonts w:ascii="Times New Roman" w:hAnsi="Times New Roman" w:eastAsia="仿宋_GB2312"/>
          <w:color w:val="auto"/>
          <w:sz w:val="36"/>
          <w:szCs w:val="44"/>
          <w:highlight w:val="none"/>
          <w:shd w:val="clear" w:color="auto" w:fill="FFFFFF"/>
          <w:lang w:val="zh-CN" w:bidi="zh-CN"/>
        </w:rPr>
      </w:pPr>
      <w:r>
        <w:rPr>
          <w:rFonts w:hint="eastAsia" w:ascii="Times New Roman" w:hAnsi="Times New Roman"/>
          <w:iCs/>
          <w:smallCaps/>
          <w:color w:val="auto"/>
          <w:sz w:val="28"/>
          <w:szCs w:val="28"/>
          <w:highlight w:val="none"/>
          <w:shd w:val="clear" w:color="auto" w:fill="FFFFFF"/>
        </w:rPr>
        <w:fldChar w:fldCharType="end"/>
      </w:r>
    </w:p>
    <w:p w14:paraId="1A568EF0">
      <w:pPr>
        <w:spacing w:line="360" w:lineRule="auto"/>
        <w:jc w:val="center"/>
        <w:outlineLvl w:val="0"/>
        <w:rPr>
          <w:rFonts w:ascii="Times New Roman" w:hAnsi="Times New Roman"/>
          <w:b/>
          <w:bCs/>
          <w:color w:val="auto"/>
          <w:sz w:val="30"/>
          <w:szCs w:val="32"/>
          <w:highlight w:val="none"/>
          <w:shd w:val="clear" w:color="auto" w:fill="FFFFFF"/>
        </w:rPr>
        <w:sectPr>
          <w:footerReference r:id="rId9" w:type="first"/>
          <w:footerReference r:id="rId8" w:type="default"/>
          <w:pgSz w:w="11906" w:h="16838"/>
          <w:pgMar w:top="1440" w:right="1946" w:bottom="1440" w:left="1560" w:header="851" w:footer="737" w:gutter="0"/>
          <w:pgNumType w:start="1"/>
          <w:cols w:space="720" w:num="1"/>
          <w:titlePg/>
          <w:docGrid w:type="lines" w:linePitch="381" w:charSpace="0"/>
        </w:sectPr>
      </w:pPr>
      <w:bookmarkStart w:id="7" w:name="_Toc176358315"/>
    </w:p>
    <w:p w14:paraId="4527795E">
      <w:pPr>
        <w:spacing w:line="360" w:lineRule="auto"/>
        <w:jc w:val="center"/>
        <w:outlineLvl w:val="0"/>
        <w:rPr>
          <w:rFonts w:ascii="Times New Roman" w:hAnsi="Times New Roman"/>
          <w:b/>
          <w:bCs/>
          <w:color w:val="auto"/>
          <w:sz w:val="30"/>
          <w:szCs w:val="32"/>
          <w:highlight w:val="none"/>
          <w:shd w:val="clear" w:color="auto" w:fill="FFFFFF"/>
        </w:rPr>
      </w:pPr>
      <w:r>
        <w:rPr>
          <w:rFonts w:hint="eastAsia" w:ascii="Times New Roman" w:hAnsi="Times New Roman"/>
          <w:b/>
          <w:bCs/>
          <w:color w:val="auto"/>
          <w:sz w:val="30"/>
          <w:szCs w:val="32"/>
          <w:highlight w:val="none"/>
          <w:shd w:val="clear" w:color="auto" w:fill="FFFFFF"/>
        </w:rPr>
        <w:t>第一章</w:t>
      </w:r>
      <w:r>
        <w:rPr>
          <w:rFonts w:ascii="Times New Roman" w:hAnsi="Times New Roman"/>
          <w:b/>
          <w:bCs/>
          <w:color w:val="auto"/>
          <w:sz w:val="30"/>
          <w:szCs w:val="32"/>
          <w:highlight w:val="none"/>
          <w:shd w:val="clear" w:color="auto" w:fill="FFFFFF"/>
        </w:rPr>
        <w:t xml:space="preserve">  </w:t>
      </w:r>
      <w:r>
        <w:rPr>
          <w:rFonts w:hint="eastAsia" w:ascii="Times New Roman" w:hAnsi="Times New Roman"/>
          <w:b/>
          <w:bCs/>
          <w:color w:val="auto"/>
          <w:sz w:val="30"/>
          <w:szCs w:val="32"/>
          <w:highlight w:val="none"/>
          <w:shd w:val="clear" w:color="auto" w:fill="FFFFFF"/>
        </w:rPr>
        <w:t>招标公告</w:t>
      </w:r>
      <w:bookmarkEnd w:id="4"/>
      <w:bookmarkEnd w:id="5"/>
      <w:bookmarkEnd w:id="6"/>
      <w:bookmarkEnd w:id="7"/>
    </w:p>
    <w:p w14:paraId="455D8875">
      <w:pPr>
        <w:spacing w:line="480" w:lineRule="exact"/>
        <w:ind w:firstLine="484" w:firstLineChars="201"/>
        <w:rPr>
          <w:rFonts w:ascii="Times New Roman" w:hAnsi="Times New Roman"/>
          <w:b/>
          <w:bCs/>
          <w:color w:val="auto"/>
          <w:sz w:val="24"/>
          <w:szCs w:val="24"/>
          <w:highlight w:val="none"/>
          <w:shd w:val="clear" w:color="auto" w:fill="FFFFFF"/>
          <w:lang w:bidi="ar"/>
        </w:rPr>
      </w:pPr>
      <w:r>
        <w:rPr>
          <w:rFonts w:hint="eastAsia" w:ascii="Times New Roman" w:hAnsi="Times New Roman"/>
          <w:b/>
          <w:bCs/>
          <w:color w:val="auto"/>
          <w:sz w:val="24"/>
          <w:szCs w:val="24"/>
          <w:highlight w:val="none"/>
          <w:shd w:val="clear" w:color="auto" w:fill="FFFFFF"/>
          <w:lang w:bidi="ar"/>
        </w:rPr>
        <w:t>项目概况</w:t>
      </w:r>
    </w:p>
    <w:p w14:paraId="1A72851E">
      <w:pPr>
        <w:spacing w:line="480" w:lineRule="exact"/>
        <w:ind w:firstLine="480" w:firstLineChars="200"/>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u w:val="single"/>
          <w:shd w:val="clear" w:color="auto" w:fill="FFFFFF"/>
          <w:lang w:bidi="ar"/>
        </w:rPr>
        <w:t>灵宝市气象局灵宝市气象业务能力提升工程</w:t>
      </w:r>
      <w:r>
        <w:rPr>
          <w:rFonts w:ascii="Times New Roman" w:hAnsi="Times New Roman"/>
          <w:color w:val="auto"/>
          <w:sz w:val="24"/>
          <w:szCs w:val="24"/>
          <w:highlight w:val="none"/>
          <w:u w:val="single"/>
          <w:shd w:val="clear" w:color="auto" w:fill="FFFFFF"/>
          <w:lang w:bidi="ar"/>
        </w:rPr>
        <w:t>X</w:t>
      </w:r>
      <w:r>
        <w:rPr>
          <w:rFonts w:hint="eastAsia" w:ascii="Times New Roman" w:hAnsi="Times New Roman"/>
          <w:color w:val="auto"/>
          <w:sz w:val="24"/>
          <w:szCs w:val="24"/>
          <w:highlight w:val="none"/>
          <w:u w:val="single"/>
          <w:shd w:val="clear" w:color="auto" w:fill="FFFFFF"/>
          <w:lang w:bidi="ar"/>
        </w:rPr>
        <w:t>波段相控阵天气雷达采购项目</w:t>
      </w:r>
      <w:r>
        <w:rPr>
          <w:rFonts w:hint="eastAsia" w:ascii="Times New Roman" w:hAnsi="Times New Roman"/>
          <w:color w:val="auto"/>
          <w:sz w:val="24"/>
          <w:szCs w:val="24"/>
          <w:highlight w:val="none"/>
          <w:shd w:val="clear" w:color="auto" w:fill="FFFFFF"/>
          <w:lang w:bidi="ar"/>
        </w:rPr>
        <w:t>招标项目的潜在投标人应在</w:t>
      </w:r>
      <w:r>
        <w:rPr>
          <w:rFonts w:hint="eastAsia" w:ascii="Times New Roman" w:hAnsi="Times New Roman"/>
          <w:color w:val="auto"/>
          <w:sz w:val="24"/>
          <w:szCs w:val="24"/>
          <w:highlight w:val="none"/>
          <w:u w:val="single"/>
          <w:shd w:val="clear" w:color="auto" w:fill="FFFFFF"/>
          <w:lang w:bidi="ar"/>
        </w:rPr>
        <w:t>三门峡市公共资源交易中心电子交易平台</w:t>
      </w:r>
      <w:r>
        <w:rPr>
          <w:rFonts w:hint="eastAsia" w:ascii="Times New Roman" w:hAnsi="Times New Roman"/>
          <w:color w:val="auto"/>
          <w:sz w:val="24"/>
          <w:szCs w:val="24"/>
          <w:highlight w:val="none"/>
          <w:shd w:val="clear" w:color="auto" w:fill="FFFFFF"/>
          <w:lang w:bidi="ar"/>
        </w:rPr>
        <w:t>获取招标文件，并于</w:t>
      </w:r>
      <w:r>
        <w:rPr>
          <w:rFonts w:hint="eastAsia" w:ascii="Times New Roman" w:hAnsi="Times New Roman"/>
          <w:color w:val="auto"/>
          <w:sz w:val="24"/>
          <w:szCs w:val="24"/>
          <w:highlight w:val="none"/>
          <w:u w:val="single"/>
          <w:shd w:val="clear" w:color="auto" w:fill="FFFFFF"/>
          <w:lang w:bidi="ar"/>
        </w:rPr>
        <w:t>2025年09月16日08时30分</w:t>
      </w:r>
      <w:r>
        <w:rPr>
          <w:rFonts w:hint="eastAsia" w:ascii="Times New Roman" w:hAnsi="Times New Roman"/>
          <w:color w:val="auto"/>
          <w:sz w:val="24"/>
          <w:szCs w:val="24"/>
          <w:highlight w:val="none"/>
          <w:shd w:val="clear" w:color="auto" w:fill="FFFFFF"/>
          <w:lang w:bidi="ar"/>
        </w:rPr>
        <w:t>（北京时间）前递交投标文件。</w:t>
      </w:r>
    </w:p>
    <w:p w14:paraId="536F305D">
      <w:pPr>
        <w:spacing w:line="480" w:lineRule="exact"/>
        <w:ind w:firstLine="482" w:firstLineChars="200"/>
        <w:rPr>
          <w:rFonts w:ascii="Times New Roman" w:hAnsi="Times New Roman"/>
          <w:b/>
          <w:bCs/>
          <w:color w:val="auto"/>
          <w:sz w:val="24"/>
          <w:szCs w:val="24"/>
          <w:highlight w:val="none"/>
          <w:shd w:val="clear" w:color="auto" w:fill="FFFFFF"/>
          <w:lang w:bidi="ar"/>
        </w:rPr>
      </w:pPr>
      <w:r>
        <w:rPr>
          <w:rFonts w:hint="eastAsia" w:ascii="Times New Roman" w:hAnsi="Times New Roman"/>
          <w:b/>
          <w:bCs/>
          <w:color w:val="auto"/>
          <w:sz w:val="24"/>
          <w:szCs w:val="24"/>
          <w:highlight w:val="none"/>
          <w:shd w:val="clear" w:color="auto" w:fill="FFFFFF"/>
          <w:lang w:bidi="ar"/>
        </w:rPr>
        <w:t>一、项目基本情况</w:t>
      </w:r>
    </w:p>
    <w:p w14:paraId="4BA169CD">
      <w:pPr>
        <w:spacing w:line="480" w:lineRule="exact"/>
        <w:ind w:firstLine="480" w:firstLineChars="200"/>
        <w:rPr>
          <w:rFonts w:ascii="Times New Roman" w:hAnsi="Times New Roman"/>
          <w:color w:val="auto"/>
          <w:sz w:val="24"/>
          <w:szCs w:val="24"/>
          <w:highlight w:val="none"/>
          <w:shd w:val="clear" w:color="auto" w:fill="FFFFFF"/>
          <w:lang w:bidi="ar"/>
        </w:rPr>
      </w:pPr>
      <w:r>
        <w:rPr>
          <w:rFonts w:ascii="Times New Roman" w:hAnsi="Times New Roman"/>
          <w:color w:val="auto"/>
          <w:sz w:val="24"/>
          <w:szCs w:val="24"/>
          <w:highlight w:val="none"/>
          <w:shd w:val="clear" w:color="auto" w:fill="FFFFFF"/>
          <w:lang w:bidi="ar"/>
        </w:rPr>
        <w:t>1</w:t>
      </w:r>
      <w:r>
        <w:rPr>
          <w:rFonts w:hint="eastAsia" w:ascii="Times New Roman" w:hAnsi="Times New Roman"/>
          <w:color w:val="auto"/>
          <w:sz w:val="24"/>
          <w:szCs w:val="24"/>
          <w:highlight w:val="none"/>
          <w:shd w:val="clear" w:color="auto" w:fill="FFFFFF"/>
          <w:lang w:bidi="ar"/>
        </w:rPr>
        <w:t>、项目编号：LBGZ[2025]238-ZC180、灵宝公开采购-2025-49</w:t>
      </w:r>
    </w:p>
    <w:p w14:paraId="0016330F">
      <w:pPr>
        <w:spacing w:line="480" w:lineRule="exact"/>
        <w:ind w:firstLine="480" w:firstLineChars="200"/>
        <w:rPr>
          <w:rFonts w:ascii="Times New Roman" w:hAnsi="Times New Roman"/>
          <w:color w:val="auto"/>
          <w:sz w:val="24"/>
          <w:szCs w:val="24"/>
          <w:highlight w:val="none"/>
          <w:shd w:val="clear" w:color="auto" w:fill="FFFFFF"/>
          <w:lang w:bidi="ar"/>
        </w:rPr>
      </w:pPr>
      <w:r>
        <w:rPr>
          <w:rFonts w:ascii="Times New Roman" w:hAnsi="Times New Roman"/>
          <w:color w:val="auto"/>
          <w:sz w:val="24"/>
          <w:szCs w:val="24"/>
          <w:highlight w:val="none"/>
          <w:shd w:val="clear" w:color="auto" w:fill="FFFFFF"/>
          <w:lang w:bidi="ar"/>
        </w:rPr>
        <w:t>2</w:t>
      </w:r>
      <w:r>
        <w:rPr>
          <w:rFonts w:hint="eastAsia" w:ascii="Times New Roman" w:hAnsi="Times New Roman"/>
          <w:color w:val="auto"/>
          <w:sz w:val="24"/>
          <w:szCs w:val="24"/>
          <w:highlight w:val="none"/>
          <w:shd w:val="clear" w:color="auto" w:fill="FFFFFF"/>
          <w:lang w:bidi="ar"/>
        </w:rPr>
        <w:t>、项目名称：灵宝市气象局灵宝市气象业务能力提升工程</w:t>
      </w:r>
      <w:r>
        <w:rPr>
          <w:rFonts w:ascii="Times New Roman" w:hAnsi="Times New Roman"/>
          <w:color w:val="auto"/>
          <w:sz w:val="24"/>
          <w:szCs w:val="24"/>
          <w:highlight w:val="none"/>
          <w:shd w:val="clear" w:color="auto" w:fill="FFFFFF"/>
          <w:lang w:bidi="ar"/>
        </w:rPr>
        <w:t>X</w:t>
      </w:r>
      <w:r>
        <w:rPr>
          <w:rFonts w:hint="eastAsia" w:ascii="Times New Roman" w:hAnsi="Times New Roman"/>
          <w:color w:val="auto"/>
          <w:sz w:val="24"/>
          <w:szCs w:val="24"/>
          <w:highlight w:val="none"/>
          <w:shd w:val="clear" w:color="auto" w:fill="FFFFFF"/>
          <w:lang w:bidi="ar"/>
        </w:rPr>
        <w:t>波段相控阵天气雷达采购项目</w:t>
      </w:r>
    </w:p>
    <w:p w14:paraId="386CBEEE">
      <w:pPr>
        <w:spacing w:line="480" w:lineRule="exact"/>
        <w:ind w:firstLine="480" w:firstLineChars="200"/>
        <w:rPr>
          <w:rFonts w:ascii="Times New Roman" w:hAnsi="Times New Roman"/>
          <w:color w:val="auto"/>
          <w:sz w:val="24"/>
          <w:szCs w:val="24"/>
          <w:highlight w:val="none"/>
          <w:shd w:val="clear" w:color="auto" w:fill="FFFFFF"/>
          <w:lang w:bidi="ar"/>
        </w:rPr>
      </w:pPr>
      <w:r>
        <w:rPr>
          <w:rFonts w:ascii="Times New Roman" w:hAnsi="Times New Roman"/>
          <w:color w:val="auto"/>
          <w:sz w:val="24"/>
          <w:szCs w:val="24"/>
          <w:highlight w:val="none"/>
          <w:shd w:val="clear" w:color="auto" w:fill="FFFFFF"/>
          <w:lang w:bidi="ar"/>
        </w:rPr>
        <w:t>3</w:t>
      </w:r>
      <w:r>
        <w:rPr>
          <w:rFonts w:hint="eastAsia" w:ascii="Times New Roman" w:hAnsi="Times New Roman"/>
          <w:color w:val="auto"/>
          <w:sz w:val="24"/>
          <w:szCs w:val="24"/>
          <w:highlight w:val="none"/>
          <w:shd w:val="clear" w:color="auto" w:fill="FFFFFF"/>
          <w:lang w:bidi="ar"/>
        </w:rPr>
        <w:t>、采购方式：公开招标</w:t>
      </w:r>
    </w:p>
    <w:p w14:paraId="41858DCC">
      <w:pPr>
        <w:spacing w:line="480" w:lineRule="exact"/>
        <w:ind w:firstLine="480" w:firstLineChars="200"/>
        <w:rPr>
          <w:rFonts w:ascii="Times New Roman" w:hAnsi="Times New Roman"/>
          <w:color w:val="auto"/>
          <w:sz w:val="24"/>
          <w:szCs w:val="24"/>
          <w:highlight w:val="none"/>
          <w:shd w:val="clear" w:color="auto" w:fill="FFFFFF"/>
          <w:lang w:bidi="ar"/>
        </w:rPr>
      </w:pPr>
      <w:r>
        <w:rPr>
          <w:rFonts w:ascii="Times New Roman" w:hAnsi="Times New Roman"/>
          <w:color w:val="auto"/>
          <w:sz w:val="24"/>
          <w:szCs w:val="24"/>
          <w:highlight w:val="none"/>
          <w:shd w:val="clear" w:color="auto" w:fill="FFFFFF"/>
          <w:lang w:bidi="ar"/>
        </w:rPr>
        <w:t>4</w:t>
      </w:r>
      <w:r>
        <w:rPr>
          <w:rFonts w:hint="eastAsia" w:ascii="Times New Roman" w:hAnsi="Times New Roman"/>
          <w:color w:val="auto"/>
          <w:sz w:val="24"/>
          <w:szCs w:val="24"/>
          <w:highlight w:val="none"/>
          <w:shd w:val="clear" w:color="auto" w:fill="FFFFFF"/>
          <w:lang w:bidi="ar"/>
        </w:rPr>
        <w:t>、最高限价：</w:t>
      </w:r>
      <w:r>
        <w:rPr>
          <w:rFonts w:hint="eastAsia" w:ascii="Times New Roman" w:hAnsi="Times New Roman"/>
          <w:color w:val="auto"/>
          <w:sz w:val="24"/>
          <w:szCs w:val="24"/>
          <w:highlight w:val="none"/>
          <w:shd w:val="clear" w:color="auto" w:fill="FFFFFF"/>
          <w:lang w:val="en-US" w:eastAsia="zh-CN" w:bidi="ar"/>
        </w:rPr>
        <w:t>871.5万</w:t>
      </w:r>
      <w:r>
        <w:rPr>
          <w:rFonts w:hint="eastAsia" w:ascii="Times New Roman" w:hAnsi="Times New Roman"/>
          <w:color w:val="auto"/>
          <w:sz w:val="24"/>
          <w:szCs w:val="24"/>
          <w:highlight w:val="none"/>
          <w:shd w:val="clear" w:color="auto" w:fill="FFFFFF"/>
          <w:lang w:bidi="ar"/>
        </w:rPr>
        <w:t>元</w:t>
      </w:r>
    </w:p>
    <w:tbl>
      <w:tblPr>
        <w:tblStyle w:val="12"/>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2830"/>
        <w:gridCol w:w="2733"/>
        <w:gridCol w:w="1546"/>
        <w:gridCol w:w="1825"/>
      </w:tblGrid>
      <w:tr w14:paraId="4662A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120497A1">
            <w:pPr>
              <w:spacing w:line="276" w:lineRule="auto"/>
              <w:jc w:val="center"/>
              <w:rPr>
                <w:rFonts w:ascii="Times New Roman" w:hAnsi="Times New Roman"/>
                <w:color w:val="auto"/>
                <w:kern w:val="0"/>
                <w:sz w:val="24"/>
                <w:szCs w:val="24"/>
                <w:highlight w:val="none"/>
                <w:lang w:bidi="ar"/>
              </w:rPr>
            </w:pPr>
            <w:r>
              <w:rPr>
                <w:rFonts w:hint="eastAsia" w:ascii="Times New Roman" w:hAnsi="Times New Roman"/>
                <w:color w:val="auto"/>
                <w:kern w:val="0"/>
                <w:sz w:val="24"/>
                <w:szCs w:val="24"/>
                <w:highlight w:val="none"/>
                <w:lang w:bidi="ar"/>
              </w:rPr>
              <w:t>序号</w:t>
            </w:r>
          </w:p>
        </w:tc>
        <w:tc>
          <w:tcPr>
            <w:tcW w:w="2757" w:type="dxa"/>
            <w:vAlign w:val="center"/>
          </w:tcPr>
          <w:p w14:paraId="168A9055">
            <w:pPr>
              <w:spacing w:line="276" w:lineRule="auto"/>
              <w:jc w:val="center"/>
              <w:rPr>
                <w:rFonts w:ascii="Times New Roman" w:hAnsi="Times New Roman"/>
                <w:color w:val="auto"/>
                <w:kern w:val="0"/>
                <w:sz w:val="24"/>
                <w:szCs w:val="24"/>
                <w:highlight w:val="none"/>
                <w:lang w:bidi="ar"/>
              </w:rPr>
            </w:pPr>
            <w:r>
              <w:rPr>
                <w:rFonts w:hint="eastAsia" w:ascii="Times New Roman" w:hAnsi="Times New Roman"/>
                <w:color w:val="auto"/>
                <w:kern w:val="0"/>
                <w:sz w:val="24"/>
                <w:szCs w:val="24"/>
                <w:highlight w:val="none"/>
                <w:lang w:bidi="ar"/>
              </w:rPr>
              <w:t>包号</w:t>
            </w:r>
          </w:p>
        </w:tc>
        <w:tc>
          <w:tcPr>
            <w:tcW w:w="2771" w:type="dxa"/>
            <w:vAlign w:val="center"/>
          </w:tcPr>
          <w:p w14:paraId="4256B3F0">
            <w:pPr>
              <w:spacing w:line="276" w:lineRule="auto"/>
              <w:jc w:val="center"/>
              <w:rPr>
                <w:rFonts w:ascii="Times New Roman" w:hAnsi="Times New Roman"/>
                <w:color w:val="auto"/>
                <w:kern w:val="0"/>
                <w:sz w:val="24"/>
                <w:szCs w:val="24"/>
                <w:highlight w:val="none"/>
                <w:lang w:bidi="ar"/>
              </w:rPr>
            </w:pPr>
            <w:r>
              <w:rPr>
                <w:rFonts w:hint="eastAsia" w:ascii="Times New Roman" w:hAnsi="Times New Roman"/>
                <w:color w:val="auto"/>
                <w:kern w:val="0"/>
                <w:sz w:val="24"/>
                <w:szCs w:val="24"/>
                <w:highlight w:val="none"/>
                <w:lang w:bidi="ar"/>
              </w:rPr>
              <w:t>包名称</w:t>
            </w:r>
          </w:p>
        </w:tc>
        <w:tc>
          <w:tcPr>
            <w:tcW w:w="1559" w:type="dxa"/>
            <w:vAlign w:val="center"/>
          </w:tcPr>
          <w:p w14:paraId="3C2EBFCC">
            <w:pPr>
              <w:spacing w:line="276" w:lineRule="auto"/>
              <w:jc w:val="center"/>
              <w:rPr>
                <w:rFonts w:ascii="Times New Roman" w:hAnsi="Times New Roman"/>
                <w:color w:val="auto"/>
                <w:kern w:val="0"/>
                <w:sz w:val="24"/>
                <w:szCs w:val="24"/>
                <w:highlight w:val="none"/>
                <w:lang w:bidi="ar"/>
              </w:rPr>
            </w:pPr>
            <w:r>
              <w:rPr>
                <w:rFonts w:hint="eastAsia" w:ascii="Times New Roman" w:hAnsi="Times New Roman"/>
                <w:color w:val="auto"/>
                <w:kern w:val="0"/>
                <w:sz w:val="24"/>
                <w:szCs w:val="24"/>
                <w:highlight w:val="none"/>
                <w:lang w:bidi="ar"/>
              </w:rPr>
              <w:t>包预算（</w:t>
            </w:r>
            <w:r>
              <w:rPr>
                <w:rFonts w:hint="eastAsia" w:ascii="Times New Roman" w:hAnsi="Times New Roman"/>
                <w:color w:val="auto"/>
                <w:kern w:val="0"/>
                <w:sz w:val="24"/>
                <w:szCs w:val="24"/>
                <w:highlight w:val="none"/>
                <w:lang w:val="en-US" w:eastAsia="zh-CN" w:bidi="ar"/>
              </w:rPr>
              <w:t>万</w:t>
            </w:r>
            <w:r>
              <w:rPr>
                <w:rFonts w:hint="eastAsia" w:ascii="Times New Roman" w:hAnsi="Times New Roman"/>
                <w:color w:val="auto"/>
                <w:kern w:val="0"/>
                <w:sz w:val="24"/>
                <w:szCs w:val="24"/>
                <w:highlight w:val="none"/>
                <w:lang w:bidi="ar"/>
              </w:rPr>
              <w:t>元）</w:t>
            </w:r>
          </w:p>
        </w:tc>
        <w:tc>
          <w:tcPr>
            <w:tcW w:w="1843" w:type="dxa"/>
            <w:vAlign w:val="center"/>
          </w:tcPr>
          <w:p w14:paraId="664A76F2">
            <w:pPr>
              <w:spacing w:line="276" w:lineRule="auto"/>
              <w:jc w:val="center"/>
              <w:rPr>
                <w:rFonts w:ascii="Times New Roman" w:hAnsi="Times New Roman"/>
                <w:color w:val="auto"/>
                <w:kern w:val="0"/>
                <w:sz w:val="24"/>
                <w:szCs w:val="24"/>
                <w:highlight w:val="none"/>
                <w:lang w:bidi="ar"/>
              </w:rPr>
            </w:pPr>
            <w:r>
              <w:rPr>
                <w:rFonts w:hint="eastAsia" w:ascii="Times New Roman" w:hAnsi="Times New Roman"/>
                <w:color w:val="auto"/>
                <w:kern w:val="0"/>
                <w:sz w:val="24"/>
                <w:szCs w:val="24"/>
                <w:highlight w:val="none"/>
                <w:lang w:bidi="ar"/>
              </w:rPr>
              <w:t>包最高限价（</w:t>
            </w:r>
            <w:r>
              <w:rPr>
                <w:rFonts w:hint="eastAsia" w:ascii="Times New Roman" w:hAnsi="Times New Roman"/>
                <w:color w:val="auto"/>
                <w:kern w:val="0"/>
                <w:sz w:val="24"/>
                <w:szCs w:val="24"/>
                <w:highlight w:val="none"/>
                <w:lang w:val="en-US" w:eastAsia="zh-CN" w:bidi="ar"/>
              </w:rPr>
              <w:t>万</w:t>
            </w:r>
            <w:r>
              <w:rPr>
                <w:rFonts w:hint="eastAsia" w:ascii="Times New Roman" w:hAnsi="Times New Roman"/>
                <w:color w:val="auto"/>
                <w:kern w:val="0"/>
                <w:sz w:val="24"/>
                <w:szCs w:val="24"/>
                <w:highlight w:val="none"/>
                <w:lang w:bidi="ar"/>
              </w:rPr>
              <w:t>元）</w:t>
            </w:r>
          </w:p>
        </w:tc>
      </w:tr>
      <w:tr w14:paraId="626D2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794F7736">
            <w:pPr>
              <w:spacing w:line="276" w:lineRule="auto"/>
              <w:jc w:val="center"/>
              <w:rPr>
                <w:rFonts w:ascii="Times New Roman" w:hAnsi="Times New Roman"/>
                <w:color w:val="auto"/>
                <w:kern w:val="0"/>
                <w:sz w:val="24"/>
                <w:szCs w:val="24"/>
                <w:highlight w:val="none"/>
                <w:lang w:bidi="ar"/>
              </w:rPr>
            </w:pPr>
            <w:r>
              <w:rPr>
                <w:rFonts w:ascii="Times New Roman" w:hAnsi="Times New Roman"/>
                <w:color w:val="auto"/>
                <w:kern w:val="0"/>
                <w:sz w:val="24"/>
                <w:szCs w:val="24"/>
                <w:highlight w:val="none"/>
                <w:lang w:bidi="ar"/>
              </w:rPr>
              <w:t>1</w:t>
            </w:r>
          </w:p>
        </w:tc>
        <w:tc>
          <w:tcPr>
            <w:tcW w:w="2757" w:type="dxa"/>
            <w:vAlign w:val="center"/>
          </w:tcPr>
          <w:p w14:paraId="1FFCF774">
            <w:pPr>
              <w:spacing w:line="276" w:lineRule="auto"/>
              <w:jc w:val="center"/>
              <w:rPr>
                <w:rFonts w:ascii="Times New Roman" w:hAnsi="Times New Roman"/>
                <w:color w:val="auto"/>
                <w:kern w:val="0"/>
                <w:sz w:val="24"/>
                <w:szCs w:val="24"/>
                <w:highlight w:val="none"/>
                <w:lang w:bidi="ar"/>
              </w:rPr>
            </w:pPr>
            <w:r>
              <w:rPr>
                <w:rFonts w:hint="eastAsia" w:ascii="Times New Roman" w:hAnsi="Times New Roman"/>
                <w:color w:val="auto"/>
                <w:kern w:val="0"/>
                <w:sz w:val="24"/>
                <w:szCs w:val="24"/>
                <w:highlight w:val="none"/>
                <w:lang w:bidi="ar"/>
              </w:rPr>
              <w:t>LBGZ[2025]238-ZC180、灵宝公开采购-2025-49</w:t>
            </w:r>
          </w:p>
        </w:tc>
        <w:tc>
          <w:tcPr>
            <w:tcW w:w="2771" w:type="dxa"/>
            <w:vAlign w:val="center"/>
          </w:tcPr>
          <w:p w14:paraId="1D61A5D8">
            <w:pPr>
              <w:spacing w:line="276" w:lineRule="auto"/>
              <w:jc w:val="center"/>
              <w:rPr>
                <w:rFonts w:ascii="Times New Roman" w:hAnsi="Times New Roman"/>
                <w:color w:val="auto"/>
                <w:kern w:val="0"/>
                <w:sz w:val="24"/>
                <w:szCs w:val="24"/>
                <w:highlight w:val="none"/>
                <w:lang w:bidi="ar"/>
              </w:rPr>
            </w:pPr>
            <w:r>
              <w:rPr>
                <w:rFonts w:hint="eastAsia" w:ascii="Times New Roman" w:hAnsi="Times New Roman"/>
                <w:color w:val="auto"/>
                <w:kern w:val="0"/>
                <w:sz w:val="24"/>
                <w:szCs w:val="24"/>
                <w:highlight w:val="none"/>
                <w:lang w:bidi="ar"/>
              </w:rPr>
              <w:t>灵宝市气象局灵宝市气象业务能力提升工程</w:t>
            </w:r>
            <w:r>
              <w:rPr>
                <w:rFonts w:ascii="Times New Roman" w:hAnsi="Times New Roman"/>
                <w:color w:val="auto"/>
                <w:kern w:val="0"/>
                <w:sz w:val="24"/>
                <w:szCs w:val="24"/>
                <w:highlight w:val="none"/>
                <w:lang w:bidi="ar"/>
              </w:rPr>
              <w:t>X</w:t>
            </w:r>
            <w:r>
              <w:rPr>
                <w:rFonts w:hint="eastAsia" w:ascii="Times New Roman" w:hAnsi="Times New Roman"/>
                <w:color w:val="auto"/>
                <w:kern w:val="0"/>
                <w:sz w:val="24"/>
                <w:szCs w:val="24"/>
                <w:highlight w:val="none"/>
                <w:lang w:bidi="ar"/>
              </w:rPr>
              <w:t>波段相控阵天气雷达采购项目</w:t>
            </w:r>
          </w:p>
        </w:tc>
        <w:tc>
          <w:tcPr>
            <w:tcW w:w="1559" w:type="dxa"/>
            <w:vAlign w:val="center"/>
          </w:tcPr>
          <w:p w14:paraId="27CFA798">
            <w:pPr>
              <w:spacing w:line="276" w:lineRule="auto"/>
              <w:jc w:val="center"/>
              <w:rPr>
                <w:rFonts w:ascii="Times New Roman" w:hAnsi="Times New Roman"/>
                <w:color w:val="auto"/>
                <w:kern w:val="0"/>
                <w:sz w:val="24"/>
                <w:szCs w:val="24"/>
                <w:highlight w:val="none"/>
                <w:lang w:bidi="ar"/>
              </w:rPr>
            </w:pPr>
            <w:r>
              <w:rPr>
                <w:rFonts w:ascii="Times New Roman" w:hAnsi="Times New Roman"/>
                <w:color w:val="auto"/>
                <w:kern w:val="0"/>
                <w:sz w:val="24"/>
                <w:szCs w:val="24"/>
                <w:highlight w:val="none"/>
                <w:lang w:bidi="ar"/>
              </w:rPr>
              <w:t>871</w:t>
            </w:r>
            <w:r>
              <w:rPr>
                <w:rFonts w:hint="eastAsia" w:ascii="Times New Roman" w:hAnsi="Times New Roman"/>
                <w:color w:val="auto"/>
                <w:kern w:val="0"/>
                <w:sz w:val="24"/>
                <w:szCs w:val="24"/>
                <w:highlight w:val="none"/>
                <w:lang w:val="en-US" w:eastAsia="zh-CN" w:bidi="ar"/>
              </w:rPr>
              <w:t>.</w:t>
            </w:r>
            <w:r>
              <w:rPr>
                <w:rFonts w:ascii="Times New Roman" w:hAnsi="Times New Roman"/>
                <w:color w:val="auto"/>
                <w:kern w:val="0"/>
                <w:sz w:val="24"/>
                <w:szCs w:val="24"/>
                <w:highlight w:val="none"/>
                <w:lang w:bidi="ar"/>
              </w:rPr>
              <w:t>5</w:t>
            </w:r>
          </w:p>
        </w:tc>
        <w:tc>
          <w:tcPr>
            <w:tcW w:w="1843" w:type="dxa"/>
            <w:vAlign w:val="center"/>
          </w:tcPr>
          <w:p w14:paraId="53FE3173">
            <w:pPr>
              <w:spacing w:line="276" w:lineRule="auto"/>
              <w:jc w:val="center"/>
              <w:rPr>
                <w:rFonts w:ascii="Times New Roman" w:hAnsi="Times New Roman"/>
                <w:color w:val="auto"/>
                <w:kern w:val="0"/>
                <w:sz w:val="24"/>
                <w:szCs w:val="24"/>
                <w:highlight w:val="none"/>
                <w:lang w:bidi="ar"/>
              </w:rPr>
            </w:pPr>
            <w:r>
              <w:rPr>
                <w:rFonts w:ascii="Times New Roman" w:hAnsi="Times New Roman"/>
                <w:color w:val="auto"/>
                <w:kern w:val="0"/>
                <w:sz w:val="24"/>
                <w:szCs w:val="24"/>
                <w:highlight w:val="none"/>
                <w:lang w:bidi="ar"/>
              </w:rPr>
              <w:t>871</w:t>
            </w:r>
            <w:r>
              <w:rPr>
                <w:rFonts w:hint="eastAsia" w:ascii="Times New Roman" w:hAnsi="Times New Roman"/>
                <w:color w:val="auto"/>
                <w:kern w:val="0"/>
                <w:sz w:val="24"/>
                <w:szCs w:val="24"/>
                <w:highlight w:val="none"/>
                <w:lang w:val="en-US" w:eastAsia="zh-CN" w:bidi="ar"/>
              </w:rPr>
              <w:t>.</w:t>
            </w:r>
            <w:r>
              <w:rPr>
                <w:rFonts w:ascii="Times New Roman" w:hAnsi="Times New Roman"/>
                <w:color w:val="auto"/>
                <w:kern w:val="0"/>
                <w:sz w:val="24"/>
                <w:szCs w:val="24"/>
                <w:highlight w:val="none"/>
                <w:lang w:bidi="ar"/>
              </w:rPr>
              <w:t>5</w:t>
            </w:r>
          </w:p>
        </w:tc>
      </w:tr>
    </w:tbl>
    <w:p w14:paraId="50AA4389">
      <w:pPr>
        <w:spacing w:line="480" w:lineRule="exact"/>
        <w:ind w:firstLine="480" w:firstLineChars="200"/>
        <w:rPr>
          <w:rFonts w:ascii="Times New Roman" w:hAnsi="Times New Roman"/>
          <w:color w:val="auto"/>
          <w:sz w:val="24"/>
          <w:szCs w:val="24"/>
          <w:highlight w:val="none"/>
          <w:shd w:val="clear" w:color="auto" w:fill="FFFFFF"/>
          <w:lang w:bidi="ar"/>
        </w:rPr>
      </w:pPr>
      <w:r>
        <w:rPr>
          <w:rFonts w:ascii="Times New Roman" w:hAnsi="Times New Roman"/>
          <w:color w:val="auto"/>
          <w:sz w:val="24"/>
          <w:szCs w:val="24"/>
          <w:highlight w:val="none"/>
          <w:shd w:val="clear" w:color="auto" w:fill="FFFFFF"/>
          <w:lang w:bidi="ar"/>
        </w:rPr>
        <w:t>5</w:t>
      </w:r>
      <w:r>
        <w:rPr>
          <w:rFonts w:hint="eastAsia" w:ascii="Times New Roman" w:hAnsi="Times New Roman"/>
          <w:color w:val="auto"/>
          <w:sz w:val="24"/>
          <w:szCs w:val="24"/>
          <w:highlight w:val="none"/>
          <w:shd w:val="clear" w:color="auto" w:fill="FFFFFF"/>
          <w:lang w:bidi="ar"/>
        </w:rPr>
        <w:t>、采购需求</w:t>
      </w:r>
      <w:r>
        <w:rPr>
          <w:rFonts w:ascii="Times New Roman" w:hAnsi="Times New Roman"/>
          <w:color w:val="auto"/>
          <w:sz w:val="24"/>
          <w:szCs w:val="24"/>
          <w:highlight w:val="none"/>
          <w:shd w:val="clear" w:color="auto" w:fill="FFFFFF"/>
          <w:lang w:bidi="ar"/>
        </w:rPr>
        <w:t>(</w:t>
      </w:r>
      <w:r>
        <w:rPr>
          <w:rFonts w:hint="eastAsia" w:ascii="Times New Roman" w:hAnsi="Times New Roman"/>
          <w:color w:val="auto"/>
          <w:sz w:val="24"/>
          <w:szCs w:val="24"/>
          <w:highlight w:val="none"/>
          <w:shd w:val="clear" w:color="auto" w:fill="FFFFFF"/>
          <w:lang w:bidi="ar"/>
        </w:rPr>
        <w:t>包括但不限于标的的名称、数量、简要技术需求或服务要求等</w:t>
      </w:r>
      <w:r>
        <w:rPr>
          <w:rFonts w:ascii="Times New Roman" w:hAnsi="Times New Roman"/>
          <w:color w:val="auto"/>
          <w:sz w:val="24"/>
          <w:szCs w:val="24"/>
          <w:highlight w:val="none"/>
          <w:shd w:val="clear" w:color="auto" w:fill="FFFFFF"/>
          <w:lang w:bidi="ar"/>
        </w:rPr>
        <w:t>)</w:t>
      </w:r>
    </w:p>
    <w:p w14:paraId="542AFC88">
      <w:pPr>
        <w:spacing w:line="360" w:lineRule="auto"/>
        <w:ind w:firstLine="480" w:firstLineChars="200"/>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w:t>
      </w:r>
      <w:r>
        <w:rPr>
          <w:rFonts w:ascii="Times New Roman" w:hAnsi="Times New Roman"/>
          <w:color w:val="auto"/>
          <w:sz w:val="24"/>
          <w:szCs w:val="24"/>
          <w:highlight w:val="none"/>
          <w:shd w:val="clear" w:color="auto" w:fill="FFFFFF"/>
          <w:lang w:bidi="ar"/>
        </w:rPr>
        <w:t>1</w:t>
      </w:r>
      <w:r>
        <w:rPr>
          <w:rFonts w:hint="eastAsia" w:ascii="Times New Roman" w:hAnsi="Times New Roman"/>
          <w:color w:val="auto"/>
          <w:sz w:val="24"/>
          <w:szCs w:val="24"/>
          <w:highlight w:val="none"/>
          <w:shd w:val="clear" w:color="auto" w:fill="FFFFFF"/>
          <w:lang w:bidi="ar"/>
        </w:rPr>
        <w:t>）采购范围：灵宝市气象局灵宝市气象业务能力提升工程</w:t>
      </w:r>
      <w:r>
        <w:rPr>
          <w:rFonts w:ascii="Times New Roman" w:hAnsi="Times New Roman"/>
          <w:color w:val="auto"/>
          <w:sz w:val="24"/>
          <w:szCs w:val="24"/>
          <w:highlight w:val="none"/>
          <w:shd w:val="clear" w:color="auto" w:fill="FFFFFF"/>
          <w:lang w:bidi="ar"/>
        </w:rPr>
        <w:t>X</w:t>
      </w:r>
      <w:r>
        <w:rPr>
          <w:rFonts w:hint="eastAsia" w:ascii="Times New Roman" w:hAnsi="Times New Roman"/>
          <w:color w:val="auto"/>
          <w:sz w:val="24"/>
          <w:szCs w:val="24"/>
          <w:highlight w:val="none"/>
          <w:shd w:val="clear" w:color="auto" w:fill="FFFFFF"/>
          <w:lang w:bidi="ar"/>
        </w:rPr>
        <w:t>波段相控阵天气雷达采购项目，包含</w:t>
      </w:r>
      <w:r>
        <w:rPr>
          <w:rFonts w:ascii="Times New Roman" w:hAnsi="Times New Roman"/>
          <w:color w:val="auto"/>
          <w:sz w:val="24"/>
          <w:szCs w:val="24"/>
          <w:highlight w:val="none"/>
          <w:shd w:val="clear" w:color="auto" w:fill="FFFFFF"/>
          <w:lang w:bidi="ar"/>
        </w:rPr>
        <w:t>1</w:t>
      </w:r>
      <w:r>
        <w:rPr>
          <w:rFonts w:hint="eastAsia" w:ascii="Times New Roman" w:hAnsi="Times New Roman"/>
          <w:color w:val="auto"/>
          <w:sz w:val="24"/>
          <w:szCs w:val="24"/>
          <w:highlight w:val="none"/>
          <w:shd w:val="clear" w:color="auto" w:fill="FFFFFF"/>
          <w:lang w:bidi="ar"/>
        </w:rPr>
        <w:t>套</w:t>
      </w:r>
      <w:r>
        <w:rPr>
          <w:rFonts w:ascii="Times New Roman" w:hAnsi="Times New Roman"/>
          <w:color w:val="auto"/>
          <w:sz w:val="24"/>
          <w:szCs w:val="24"/>
          <w:highlight w:val="none"/>
          <w:shd w:val="clear" w:color="auto" w:fill="FFFFFF"/>
          <w:lang w:bidi="ar"/>
        </w:rPr>
        <w:t>X</w:t>
      </w:r>
      <w:r>
        <w:rPr>
          <w:rFonts w:hint="eastAsia" w:ascii="Times New Roman" w:hAnsi="Times New Roman"/>
          <w:color w:val="auto"/>
          <w:sz w:val="24"/>
          <w:szCs w:val="24"/>
          <w:highlight w:val="none"/>
          <w:shd w:val="clear" w:color="auto" w:fill="FFFFFF"/>
          <w:lang w:bidi="ar"/>
        </w:rPr>
        <w:t>波段相控阵天气雷达系统、数据处理存储显示系统及塔下方舱内相关配套设备以及附属设备安装与调试。具体技术参数要求详见“招标文件第三章采购内容及参数要求”；</w:t>
      </w:r>
      <w:r>
        <w:rPr>
          <w:rFonts w:hint="eastAsia" w:ascii="Times New Roman" w:hAnsi="Times New Roman"/>
          <w:color w:val="auto"/>
          <w:sz w:val="24"/>
          <w:szCs w:val="24"/>
          <w:highlight w:val="none"/>
          <w:shd w:val="clear" w:color="auto" w:fill="FFFFFF"/>
          <w:lang w:bidi="ar"/>
        </w:rPr>
        <w:tab/>
      </w:r>
    </w:p>
    <w:p w14:paraId="120D63B5">
      <w:pPr>
        <w:spacing w:line="360" w:lineRule="auto"/>
        <w:ind w:firstLine="480" w:firstLineChars="200"/>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w:t>
      </w:r>
      <w:r>
        <w:rPr>
          <w:rFonts w:ascii="Times New Roman" w:hAnsi="Times New Roman"/>
          <w:color w:val="auto"/>
          <w:sz w:val="24"/>
          <w:szCs w:val="24"/>
          <w:highlight w:val="none"/>
          <w:shd w:val="clear" w:color="auto" w:fill="FFFFFF"/>
          <w:lang w:bidi="ar"/>
        </w:rPr>
        <w:t>2</w:t>
      </w:r>
      <w:r>
        <w:rPr>
          <w:rFonts w:hint="eastAsia" w:ascii="Times New Roman" w:hAnsi="Times New Roman"/>
          <w:color w:val="auto"/>
          <w:sz w:val="24"/>
          <w:szCs w:val="24"/>
          <w:highlight w:val="none"/>
          <w:shd w:val="clear" w:color="auto" w:fill="FFFFFF"/>
          <w:lang w:bidi="ar"/>
        </w:rPr>
        <w:t>）资金来源：财政资金，已落实；</w:t>
      </w:r>
    </w:p>
    <w:p w14:paraId="329FB81B">
      <w:pPr>
        <w:spacing w:line="360" w:lineRule="auto"/>
        <w:ind w:firstLine="480" w:firstLineChars="200"/>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w:t>
      </w:r>
      <w:r>
        <w:rPr>
          <w:rFonts w:ascii="Times New Roman" w:hAnsi="Times New Roman"/>
          <w:color w:val="auto"/>
          <w:sz w:val="24"/>
          <w:szCs w:val="24"/>
          <w:highlight w:val="none"/>
          <w:shd w:val="clear" w:color="auto" w:fill="FFFFFF"/>
          <w:lang w:bidi="ar"/>
        </w:rPr>
        <w:t>3</w:t>
      </w:r>
      <w:r>
        <w:rPr>
          <w:rFonts w:hint="eastAsia" w:ascii="Times New Roman" w:hAnsi="Times New Roman"/>
          <w:color w:val="auto"/>
          <w:sz w:val="24"/>
          <w:szCs w:val="24"/>
          <w:highlight w:val="none"/>
          <w:shd w:val="clear" w:color="auto" w:fill="FFFFFF"/>
          <w:lang w:bidi="ar"/>
        </w:rPr>
        <w:t>）标段划分：本项目划分</w:t>
      </w:r>
      <w:r>
        <w:rPr>
          <w:rFonts w:ascii="Times New Roman" w:hAnsi="Times New Roman"/>
          <w:color w:val="auto"/>
          <w:sz w:val="24"/>
          <w:szCs w:val="24"/>
          <w:highlight w:val="none"/>
          <w:shd w:val="clear" w:color="auto" w:fill="FFFFFF"/>
          <w:lang w:bidi="ar"/>
        </w:rPr>
        <w:t>1</w:t>
      </w:r>
      <w:r>
        <w:rPr>
          <w:rFonts w:hint="eastAsia" w:ascii="Times New Roman" w:hAnsi="Times New Roman"/>
          <w:color w:val="auto"/>
          <w:sz w:val="24"/>
          <w:szCs w:val="24"/>
          <w:highlight w:val="none"/>
          <w:shd w:val="clear" w:color="auto" w:fill="FFFFFF"/>
          <w:lang w:bidi="ar"/>
        </w:rPr>
        <w:t>个标段；</w:t>
      </w:r>
    </w:p>
    <w:p w14:paraId="01B16515">
      <w:pPr>
        <w:spacing w:line="360" w:lineRule="auto"/>
        <w:ind w:firstLine="480" w:firstLineChars="200"/>
        <w:jc w:val="left"/>
        <w:rPr>
          <w:rFonts w:ascii="Times New Roman" w:hAnsi="Times New Roman"/>
          <w:color w:val="auto"/>
          <w:sz w:val="24"/>
          <w:szCs w:val="24"/>
          <w:highlight w:val="none"/>
          <w:lang w:bidi="ar"/>
        </w:rPr>
      </w:pPr>
      <w:r>
        <w:rPr>
          <w:rFonts w:hint="eastAsia" w:ascii="Times New Roman" w:hAnsi="Times New Roman"/>
          <w:color w:val="auto"/>
          <w:sz w:val="24"/>
          <w:szCs w:val="24"/>
          <w:highlight w:val="none"/>
          <w:lang w:bidi="ar"/>
        </w:rPr>
        <w:t>（</w:t>
      </w:r>
      <w:r>
        <w:rPr>
          <w:rFonts w:ascii="Times New Roman" w:hAnsi="Times New Roman"/>
          <w:color w:val="auto"/>
          <w:sz w:val="24"/>
          <w:szCs w:val="24"/>
          <w:highlight w:val="none"/>
          <w:lang w:bidi="ar"/>
        </w:rPr>
        <w:t>4</w:t>
      </w:r>
      <w:r>
        <w:rPr>
          <w:rFonts w:hint="eastAsia" w:ascii="Times New Roman" w:hAnsi="Times New Roman"/>
          <w:color w:val="auto"/>
          <w:sz w:val="24"/>
          <w:szCs w:val="24"/>
          <w:highlight w:val="none"/>
          <w:lang w:bidi="ar"/>
        </w:rPr>
        <w:t>）质量要求：符合国家规定，达到正常使用条件，满足采购人需求；</w:t>
      </w:r>
    </w:p>
    <w:p w14:paraId="28E152F7">
      <w:pPr>
        <w:spacing w:line="360" w:lineRule="auto"/>
        <w:ind w:firstLine="480" w:firstLineChars="200"/>
        <w:jc w:val="left"/>
        <w:rPr>
          <w:rFonts w:ascii="Times New Roman" w:hAnsi="Times New Roman"/>
          <w:color w:val="auto"/>
          <w:sz w:val="24"/>
          <w:szCs w:val="24"/>
          <w:highlight w:val="none"/>
          <w:lang w:bidi="ar"/>
        </w:rPr>
      </w:pPr>
      <w:r>
        <w:rPr>
          <w:rFonts w:hint="eastAsia" w:ascii="Times New Roman" w:hAnsi="Times New Roman"/>
          <w:color w:val="auto"/>
          <w:sz w:val="24"/>
          <w:szCs w:val="24"/>
          <w:highlight w:val="none"/>
          <w:lang w:bidi="ar"/>
        </w:rPr>
        <w:t>（</w:t>
      </w:r>
      <w:r>
        <w:rPr>
          <w:rFonts w:ascii="Times New Roman" w:hAnsi="Times New Roman"/>
          <w:color w:val="auto"/>
          <w:sz w:val="24"/>
          <w:szCs w:val="24"/>
          <w:highlight w:val="none"/>
          <w:lang w:bidi="ar"/>
        </w:rPr>
        <w:t>5</w:t>
      </w:r>
      <w:r>
        <w:rPr>
          <w:rFonts w:hint="eastAsia" w:ascii="Times New Roman" w:hAnsi="Times New Roman"/>
          <w:color w:val="auto"/>
          <w:sz w:val="24"/>
          <w:szCs w:val="24"/>
          <w:highlight w:val="none"/>
          <w:lang w:bidi="ar"/>
        </w:rPr>
        <w:t>）交货地点：采购人指定地点；</w:t>
      </w:r>
    </w:p>
    <w:p w14:paraId="44BB7017">
      <w:pPr>
        <w:spacing w:line="360" w:lineRule="auto"/>
        <w:ind w:firstLine="480" w:firstLineChars="200"/>
        <w:jc w:val="left"/>
        <w:rPr>
          <w:rFonts w:ascii="Times New Roman" w:hAnsi="Times New Roman"/>
          <w:color w:val="auto"/>
          <w:sz w:val="24"/>
          <w:szCs w:val="24"/>
          <w:highlight w:val="none"/>
          <w:lang w:bidi="ar"/>
        </w:rPr>
      </w:pPr>
      <w:r>
        <w:rPr>
          <w:rFonts w:hint="eastAsia" w:ascii="Times New Roman" w:hAnsi="Times New Roman"/>
          <w:color w:val="auto"/>
          <w:sz w:val="24"/>
          <w:szCs w:val="24"/>
          <w:highlight w:val="none"/>
          <w:lang w:bidi="ar"/>
        </w:rPr>
        <w:t>（</w:t>
      </w:r>
      <w:r>
        <w:rPr>
          <w:rFonts w:ascii="Times New Roman" w:hAnsi="Times New Roman"/>
          <w:color w:val="auto"/>
          <w:sz w:val="24"/>
          <w:szCs w:val="24"/>
          <w:highlight w:val="none"/>
          <w:lang w:bidi="ar"/>
        </w:rPr>
        <w:t>6</w:t>
      </w:r>
      <w:r>
        <w:rPr>
          <w:rFonts w:hint="eastAsia" w:ascii="Times New Roman" w:hAnsi="Times New Roman"/>
          <w:color w:val="auto"/>
          <w:sz w:val="24"/>
          <w:szCs w:val="24"/>
          <w:highlight w:val="none"/>
          <w:lang w:bidi="ar"/>
        </w:rPr>
        <w:t>）合同履行期限（交货期）：</w:t>
      </w:r>
      <w:r>
        <w:rPr>
          <w:rFonts w:hint="eastAsia" w:ascii="Times New Roman" w:hAnsi="Times New Roman"/>
          <w:color w:val="auto"/>
          <w:sz w:val="24"/>
          <w:highlight w:val="none"/>
          <w:lang w:eastAsia="zh-CN"/>
        </w:rPr>
        <w:t>合同签订之日起1年</w:t>
      </w:r>
      <w:r>
        <w:rPr>
          <w:rFonts w:hint="eastAsia" w:ascii="Times New Roman" w:hAnsi="Times New Roman"/>
          <w:color w:val="auto"/>
          <w:sz w:val="24"/>
          <w:highlight w:val="none"/>
        </w:rPr>
        <w:t>。</w:t>
      </w:r>
    </w:p>
    <w:p w14:paraId="2E5DB96D">
      <w:pPr>
        <w:spacing w:line="360" w:lineRule="auto"/>
        <w:ind w:firstLine="480" w:firstLineChars="200"/>
        <w:jc w:val="left"/>
        <w:rPr>
          <w:rFonts w:ascii="Times New Roman" w:hAnsi="Times New Roman"/>
          <w:color w:val="auto"/>
          <w:sz w:val="24"/>
          <w:szCs w:val="24"/>
          <w:highlight w:val="none"/>
          <w:lang w:bidi="ar"/>
        </w:rPr>
      </w:pPr>
      <w:r>
        <w:rPr>
          <w:rFonts w:hint="eastAsia" w:ascii="Times New Roman" w:hAnsi="Times New Roman"/>
          <w:color w:val="auto"/>
          <w:sz w:val="24"/>
          <w:szCs w:val="24"/>
          <w:highlight w:val="none"/>
          <w:lang w:bidi="ar"/>
        </w:rPr>
        <w:t>（</w:t>
      </w:r>
      <w:r>
        <w:rPr>
          <w:rFonts w:ascii="Times New Roman" w:hAnsi="Times New Roman"/>
          <w:color w:val="auto"/>
          <w:sz w:val="24"/>
          <w:szCs w:val="24"/>
          <w:highlight w:val="none"/>
          <w:lang w:bidi="ar"/>
        </w:rPr>
        <w:t>7</w:t>
      </w:r>
      <w:r>
        <w:rPr>
          <w:rFonts w:hint="eastAsia" w:ascii="Times New Roman" w:hAnsi="Times New Roman"/>
          <w:color w:val="auto"/>
          <w:sz w:val="24"/>
          <w:szCs w:val="24"/>
          <w:highlight w:val="none"/>
          <w:lang w:bidi="ar"/>
        </w:rPr>
        <w:t>）质保期：雷达设备提供</w:t>
      </w:r>
      <w:r>
        <w:rPr>
          <w:rFonts w:ascii="Times New Roman" w:hAnsi="Times New Roman"/>
          <w:color w:val="auto"/>
          <w:sz w:val="24"/>
          <w:szCs w:val="24"/>
          <w:highlight w:val="none"/>
          <w:lang w:bidi="ar"/>
        </w:rPr>
        <w:t>8</w:t>
      </w:r>
      <w:r>
        <w:rPr>
          <w:rFonts w:hint="eastAsia" w:ascii="Times New Roman" w:hAnsi="Times New Roman"/>
          <w:color w:val="auto"/>
          <w:sz w:val="24"/>
          <w:szCs w:val="24"/>
          <w:highlight w:val="none"/>
          <w:lang w:bidi="ar"/>
        </w:rPr>
        <w:t>年原厂质保，其他设备提供</w:t>
      </w:r>
      <w:r>
        <w:rPr>
          <w:rFonts w:ascii="Times New Roman" w:hAnsi="Times New Roman"/>
          <w:color w:val="auto"/>
          <w:sz w:val="24"/>
          <w:szCs w:val="24"/>
          <w:highlight w:val="none"/>
          <w:lang w:bidi="ar"/>
        </w:rPr>
        <w:t>3</w:t>
      </w:r>
      <w:r>
        <w:rPr>
          <w:rFonts w:hint="eastAsia" w:ascii="Times New Roman" w:hAnsi="Times New Roman"/>
          <w:color w:val="auto"/>
          <w:sz w:val="24"/>
          <w:szCs w:val="24"/>
          <w:highlight w:val="none"/>
          <w:lang w:bidi="ar"/>
        </w:rPr>
        <w:t>年质保，自采购人系统验收合格之日起计算。</w:t>
      </w:r>
    </w:p>
    <w:p w14:paraId="3A45E3D4">
      <w:pPr>
        <w:spacing w:line="480" w:lineRule="exact"/>
        <w:ind w:firstLine="480" w:firstLineChars="200"/>
        <w:rPr>
          <w:rFonts w:ascii="Times New Roman" w:hAnsi="Times New Roman"/>
          <w:color w:val="auto"/>
          <w:sz w:val="24"/>
          <w:szCs w:val="24"/>
          <w:highlight w:val="none"/>
          <w:shd w:val="clear" w:color="auto" w:fill="FFFFFF"/>
          <w:lang w:bidi="ar"/>
        </w:rPr>
      </w:pPr>
      <w:r>
        <w:rPr>
          <w:rFonts w:ascii="Times New Roman" w:hAnsi="Times New Roman"/>
          <w:color w:val="auto"/>
          <w:sz w:val="24"/>
          <w:szCs w:val="24"/>
          <w:highlight w:val="none"/>
          <w:shd w:val="clear" w:color="auto" w:fill="FFFFFF"/>
          <w:lang w:bidi="ar"/>
        </w:rPr>
        <w:t>6</w:t>
      </w:r>
      <w:r>
        <w:rPr>
          <w:rFonts w:hint="eastAsia" w:ascii="Times New Roman" w:hAnsi="Times New Roman"/>
          <w:color w:val="auto"/>
          <w:sz w:val="24"/>
          <w:szCs w:val="24"/>
          <w:highlight w:val="none"/>
          <w:shd w:val="clear" w:color="auto" w:fill="FFFFFF"/>
          <w:lang w:bidi="ar"/>
        </w:rPr>
        <w:t>、本项目是否接受联合体投标：否</w:t>
      </w:r>
    </w:p>
    <w:p w14:paraId="6784BE0B">
      <w:pPr>
        <w:spacing w:line="480" w:lineRule="exact"/>
        <w:ind w:firstLine="480" w:firstLineChars="200"/>
        <w:rPr>
          <w:rFonts w:ascii="Times New Roman" w:hAnsi="Times New Roman"/>
          <w:color w:val="auto"/>
          <w:sz w:val="24"/>
          <w:szCs w:val="24"/>
          <w:highlight w:val="none"/>
          <w:shd w:val="clear" w:color="auto" w:fill="FFFFFF"/>
          <w:lang w:bidi="ar"/>
        </w:rPr>
      </w:pPr>
      <w:r>
        <w:rPr>
          <w:rFonts w:ascii="Times New Roman" w:hAnsi="Times New Roman"/>
          <w:color w:val="auto"/>
          <w:sz w:val="24"/>
          <w:szCs w:val="24"/>
          <w:highlight w:val="none"/>
          <w:shd w:val="clear" w:color="auto" w:fill="FFFFFF"/>
          <w:lang w:bidi="ar"/>
        </w:rPr>
        <w:t>7</w:t>
      </w:r>
      <w:r>
        <w:rPr>
          <w:rFonts w:hint="eastAsia" w:ascii="Times New Roman" w:hAnsi="Times New Roman"/>
          <w:color w:val="auto"/>
          <w:sz w:val="24"/>
          <w:szCs w:val="24"/>
          <w:highlight w:val="none"/>
          <w:shd w:val="clear" w:color="auto" w:fill="FFFFFF"/>
          <w:lang w:bidi="ar"/>
        </w:rPr>
        <w:t>、是否接受进口产品：否</w:t>
      </w:r>
    </w:p>
    <w:p w14:paraId="568E79F9">
      <w:pPr>
        <w:spacing w:line="480" w:lineRule="exact"/>
        <w:ind w:firstLine="480" w:firstLineChars="200"/>
        <w:rPr>
          <w:rFonts w:ascii="Times New Roman" w:hAnsi="Times New Roman"/>
          <w:color w:val="auto"/>
          <w:sz w:val="24"/>
          <w:szCs w:val="24"/>
          <w:highlight w:val="none"/>
          <w:shd w:val="clear" w:color="auto" w:fill="FFFFFF"/>
          <w:lang w:bidi="ar"/>
        </w:rPr>
      </w:pPr>
      <w:r>
        <w:rPr>
          <w:rFonts w:ascii="Times New Roman" w:hAnsi="Times New Roman"/>
          <w:color w:val="auto"/>
          <w:sz w:val="24"/>
          <w:szCs w:val="24"/>
          <w:highlight w:val="none"/>
          <w:shd w:val="clear" w:color="auto" w:fill="FFFFFF"/>
          <w:lang w:bidi="ar"/>
        </w:rPr>
        <w:t>8</w:t>
      </w:r>
      <w:r>
        <w:rPr>
          <w:rFonts w:hint="eastAsia" w:ascii="Times New Roman" w:hAnsi="Times New Roman"/>
          <w:color w:val="auto"/>
          <w:sz w:val="24"/>
          <w:szCs w:val="24"/>
          <w:highlight w:val="none"/>
          <w:shd w:val="clear" w:color="auto" w:fill="FFFFFF"/>
          <w:lang w:bidi="ar"/>
        </w:rPr>
        <w:t>、是否专门面向中小企业：否</w:t>
      </w:r>
    </w:p>
    <w:p w14:paraId="56DC7B63">
      <w:pPr>
        <w:spacing w:line="480" w:lineRule="exact"/>
        <w:ind w:firstLine="482" w:firstLineChars="200"/>
        <w:rPr>
          <w:rFonts w:ascii="Times New Roman" w:hAnsi="Times New Roman"/>
          <w:color w:val="auto"/>
          <w:sz w:val="24"/>
          <w:szCs w:val="24"/>
          <w:highlight w:val="none"/>
          <w:shd w:val="clear" w:color="auto" w:fill="FFFFFF"/>
          <w:lang w:bidi="ar"/>
        </w:rPr>
      </w:pPr>
      <w:r>
        <w:rPr>
          <w:rFonts w:hint="eastAsia" w:ascii="Times New Roman" w:hAnsi="Times New Roman"/>
          <w:b/>
          <w:bCs/>
          <w:color w:val="auto"/>
          <w:sz w:val="24"/>
          <w:szCs w:val="24"/>
          <w:highlight w:val="none"/>
          <w:shd w:val="clear" w:color="auto" w:fill="FFFFFF"/>
          <w:lang w:bidi="ar"/>
        </w:rPr>
        <w:t>二、申请人资格要求：</w:t>
      </w:r>
    </w:p>
    <w:p w14:paraId="2DA00BAC">
      <w:pPr>
        <w:spacing w:line="480" w:lineRule="exact"/>
        <w:ind w:firstLine="480" w:firstLineChars="200"/>
        <w:rPr>
          <w:rFonts w:ascii="Times New Roman" w:hAnsi="Times New Roman"/>
          <w:color w:val="auto"/>
          <w:sz w:val="24"/>
          <w:szCs w:val="24"/>
          <w:highlight w:val="none"/>
          <w:shd w:val="clear" w:color="auto" w:fill="FFFFFF"/>
          <w:lang w:bidi="ar"/>
        </w:rPr>
      </w:pPr>
      <w:r>
        <w:rPr>
          <w:rFonts w:ascii="Times New Roman" w:hAnsi="Times New Roman"/>
          <w:color w:val="auto"/>
          <w:sz w:val="24"/>
          <w:szCs w:val="24"/>
          <w:highlight w:val="none"/>
          <w:shd w:val="clear" w:color="auto" w:fill="FFFFFF"/>
          <w:lang w:bidi="ar"/>
        </w:rPr>
        <w:t>1</w:t>
      </w:r>
      <w:r>
        <w:rPr>
          <w:rFonts w:hint="eastAsia" w:ascii="Times New Roman" w:hAnsi="Times New Roman"/>
          <w:color w:val="auto"/>
          <w:sz w:val="24"/>
          <w:szCs w:val="24"/>
          <w:highlight w:val="none"/>
          <w:shd w:val="clear" w:color="auto" w:fill="FFFFFF"/>
          <w:lang w:bidi="ar"/>
        </w:rPr>
        <w:t>、满足《中华人民共和国政府采购法》第二十二条规定；</w:t>
      </w:r>
    </w:p>
    <w:p w14:paraId="6EE4DCF3">
      <w:pPr>
        <w:spacing w:line="480" w:lineRule="exact"/>
        <w:ind w:firstLine="480" w:firstLineChars="200"/>
        <w:rPr>
          <w:rFonts w:ascii="Times New Roman" w:hAnsi="Times New Roman"/>
          <w:color w:val="auto"/>
          <w:sz w:val="24"/>
          <w:szCs w:val="24"/>
          <w:highlight w:val="none"/>
          <w:shd w:val="clear" w:color="auto" w:fill="FFFFFF"/>
          <w:lang w:bidi="ar"/>
        </w:rPr>
      </w:pPr>
      <w:r>
        <w:rPr>
          <w:rFonts w:ascii="Times New Roman" w:hAnsi="Times New Roman"/>
          <w:color w:val="auto"/>
          <w:sz w:val="24"/>
          <w:szCs w:val="24"/>
          <w:highlight w:val="none"/>
          <w:shd w:val="clear" w:color="auto" w:fill="FFFFFF"/>
          <w:lang w:bidi="ar"/>
        </w:rPr>
        <w:t>2</w:t>
      </w:r>
      <w:r>
        <w:rPr>
          <w:rFonts w:hint="eastAsia" w:ascii="Times New Roman" w:hAnsi="Times New Roman"/>
          <w:color w:val="auto"/>
          <w:sz w:val="24"/>
          <w:szCs w:val="24"/>
          <w:highlight w:val="none"/>
          <w:shd w:val="clear" w:color="auto" w:fill="FFFFFF"/>
          <w:lang w:bidi="ar"/>
        </w:rPr>
        <w:t>、落实政府采购政策满足的资格要求：</w:t>
      </w:r>
    </w:p>
    <w:p w14:paraId="63CFC361">
      <w:pPr>
        <w:spacing w:line="480" w:lineRule="exact"/>
        <w:ind w:firstLine="480" w:firstLineChars="200"/>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执行促进中小企业（监狱企业、残疾人福利性企业视为小微企业）发展等政府采购政策；</w:t>
      </w:r>
    </w:p>
    <w:p w14:paraId="68F7B577">
      <w:pPr>
        <w:spacing w:line="480" w:lineRule="exact"/>
        <w:ind w:firstLine="480" w:firstLineChars="200"/>
        <w:rPr>
          <w:rFonts w:ascii="Times New Roman" w:hAnsi="Times New Roman"/>
          <w:color w:val="auto"/>
          <w:sz w:val="24"/>
          <w:szCs w:val="24"/>
          <w:highlight w:val="none"/>
          <w:shd w:val="clear" w:color="auto" w:fill="FFFFFF"/>
          <w:lang w:bidi="ar"/>
        </w:rPr>
      </w:pPr>
      <w:r>
        <w:rPr>
          <w:rFonts w:ascii="Times New Roman" w:hAnsi="Times New Roman"/>
          <w:color w:val="auto"/>
          <w:sz w:val="24"/>
          <w:szCs w:val="24"/>
          <w:highlight w:val="none"/>
          <w:shd w:val="clear" w:color="auto" w:fill="FFFFFF"/>
          <w:lang w:bidi="ar"/>
        </w:rPr>
        <w:t>3</w:t>
      </w:r>
      <w:r>
        <w:rPr>
          <w:rFonts w:hint="eastAsia" w:ascii="Times New Roman" w:hAnsi="Times New Roman"/>
          <w:color w:val="auto"/>
          <w:sz w:val="24"/>
          <w:szCs w:val="24"/>
          <w:highlight w:val="none"/>
          <w:shd w:val="clear" w:color="auto" w:fill="FFFFFF"/>
          <w:lang w:bidi="ar"/>
        </w:rPr>
        <w:t>、本项目的特定资格要求</w:t>
      </w:r>
      <w:r>
        <w:rPr>
          <w:rFonts w:ascii="Times New Roman" w:hAnsi="Times New Roman"/>
          <w:color w:val="auto"/>
          <w:sz w:val="24"/>
          <w:szCs w:val="24"/>
          <w:highlight w:val="none"/>
          <w:shd w:val="clear" w:color="auto" w:fill="FFFFFF"/>
          <w:lang w:bidi="ar"/>
        </w:rPr>
        <w:tab/>
      </w:r>
    </w:p>
    <w:p w14:paraId="3117C040">
      <w:pPr>
        <w:spacing w:line="48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3.1</w:t>
      </w:r>
      <w:r>
        <w:rPr>
          <w:rFonts w:hint="eastAsia" w:ascii="Times New Roman" w:hAnsi="Times New Roman"/>
          <w:color w:val="auto"/>
          <w:sz w:val="24"/>
          <w:szCs w:val="24"/>
          <w:highlight w:val="none"/>
        </w:rPr>
        <w:t>供应商应具有合法有效的营业执照（可使用电子营业执照），并在人员、资金、设备及专业技术等方面具有与本项目相匹配的合同履约能力（提供承诺函，格式自拟）；</w:t>
      </w:r>
    </w:p>
    <w:p w14:paraId="66790A05">
      <w:pPr>
        <w:spacing w:line="48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3.2</w:t>
      </w:r>
      <w:r>
        <w:rPr>
          <w:rFonts w:hint="eastAsia" w:ascii="Times New Roman" w:hAnsi="Times New Roman"/>
          <w:color w:val="auto"/>
          <w:sz w:val="24"/>
          <w:szCs w:val="24"/>
          <w:highlight w:val="none"/>
        </w:rPr>
        <w:t>参加政府采购活动近三年内，在经营活动中没有重大违法记录（提供承诺书，格式自拟）</w:t>
      </w:r>
    </w:p>
    <w:p w14:paraId="3181A59E">
      <w:pPr>
        <w:spacing w:line="48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3.3</w:t>
      </w:r>
      <w:r>
        <w:rPr>
          <w:rFonts w:hint="eastAsia" w:ascii="Times New Roman" w:hAnsi="Times New Roman"/>
          <w:color w:val="auto"/>
          <w:sz w:val="24"/>
          <w:szCs w:val="24"/>
          <w:highlight w:val="none"/>
        </w:rPr>
        <w:t>供应商须承诺本企业无商业贿赂及不正当竞争行为（提供承诺书，格式自拟）；</w:t>
      </w:r>
    </w:p>
    <w:p w14:paraId="345A17D9">
      <w:pPr>
        <w:spacing w:line="48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3.4</w:t>
      </w:r>
      <w:r>
        <w:rPr>
          <w:rFonts w:hint="eastAsia" w:ascii="Times New Roman" w:hAnsi="Times New Roman"/>
          <w:color w:val="auto"/>
          <w:sz w:val="24"/>
          <w:szCs w:val="24"/>
          <w:highlight w:val="none"/>
        </w:rPr>
        <w:t>根据《关于在政府采购活动中查询及使用信用记录有关问题的通知》</w:t>
      </w:r>
      <w:r>
        <w:rPr>
          <w:rFonts w:ascii="Times New Roman" w:hAnsi="Times New Roman"/>
          <w:color w:val="auto"/>
          <w:sz w:val="24"/>
          <w:szCs w:val="24"/>
          <w:highlight w:val="none"/>
        </w:rPr>
        <w:t>(</w:t>
      </w:r>
      <w:r>
        <w:rPr>
          <w:rFonts w:hint="eastAsia" w:ascii="Times New Roman" w:hAnsi="Times New Roman"/>
          <w:color w:val="auto"/>
          <w:sz w:val="24"/>
          <w:szCs w:val="24"/>
          <w:highlight w:val="none"/>
        </w:rPr>
        <w:t>财库</w:t>
      </w:r>
      <w:r>
        <w:rPr>
          <w:rFonts w:ascii="Times New Roman" w:hAnsi="Times New Roman"/>
          <w:color w:val="auto"/>
          <w:sz w:val="24"/>
          <w:szCs w:val="24"/>
          <w:highlight w:val="none"/>
        </w:rPr>
        <w:t>[2016]125</w:t>
      </w:r>
      <w:r>
        <w:rPr>
          <w:rFonts w:hint="eastAsia" w:ascii="Times New Roman" w:hAnsi="Times New Roman"/>
          <w:color w:val="auto"/>
          <w:sz w:val="24"/>
          <w:szCs w:val="24"/>
          <w:highlight w:val="none"/>
        </w:rPr>
        <w:t>号</w:t>
      </w:r>
      <w:r>
        <w:rPr>
          <w:rFonts w:ascii="Times New Roman" w:hAnsi="Times New Roman"/>
          <w:color w:val="auto"/>
          <w:sz w:val="24"/>
          <w:szCs w:val="24"/>
          <w:highlight w:val="none"/>
        </w:rPr>
        <w:t>)</w:t>
      </w:r>
      <w:r>
        <w:rPr>
          <w:rFonts w:hint="eastAsia" w:ascii="Times New Roman" w:hAnsi="Times New Roman"/>
          <w:color w:val="auto"/>
          <w:sz w:val="24"/>
          <w:szCs w:val="24"/>
          <w:highlight w:val="none"/>
        </w:rPr>
        <w:t>和豫财购【</w:t>
      </w:r>
      <w:r>
        <w:rPr>
          <w:rFonts w:ascii="Times New Roman" w:hAnsi="Times New Roman"/>
          <w:color w:val="auto"/>
          <w:sz w:val="24"/>
          <w:szCs w:val="24"/>
          <w:highlight w:val="none"/>
        </w:rPr>
        <w:t>2016</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15</w:t>
      </w:r>
      <w:r>
        <w:rPr>
          <w:rFonts w:hint="eastAsia" w:ascii="Times New Roman" w:hAnsi="Times New Roman"/>
          <w:color w:val="auto"/>
          <w:sz w:val="24"/>
          <w:szCs w:val="24"/>
          <w:highlight w:val="none"/>
        </w:rPr>
        <w:t>号的规定，企业没有被列入“信用中国”网站的“失信被执行人”（跳转中国执行信息公开网）、“重大税收违法失信主体”、“政府采购严重违法失信行为记录名单”及“中国政府采购网站”的“政府采购严重违法失信行为记录名单”的供应商。（提供“中国执行信息公开网”、“信用中国”和“中国政府采购网”网站的查询信息截图，查询日期自公告发布之日起）；</w:t>
      </w:r>
    </w:p>
    <w:p w14:paraId="43B6507C">
      <w:pPr>
        <w:spacing w:line="48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3.5</w:t>
      </w:r>
      <w:r>
        <w:rPr>
          <w:rFonts w:hint="eastAsia" w:ascii="Times New Roman" w:hAnsi="Times New Roman"/>
          <w:color w:val="auto"/>
          <w:sz w:val="24"/>
          <w:szCs w:val="24"/>
          <w:highlight w:val="none"/>
        </w:rPr>
        <w:t>单位负责人为同一人或者存在直接控股、管理关系的不同投标人，不得参加同一合同项下的政府采购活动，提供“国家企业信用信息公示系统”中查询截图（查询信息需包含公司基本信息、股东信息及股权变更信息等相关信息，查询起始日期为本项目公告发布之后）；</w:t>
      </w:r>
    </w:p>
    <w:p w14:paraId="188A9DA2">
      <w:pPr>
        <w:spacing w:line="48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3.6</w:t>
      </w:r>
      <w:r>
        <w:rPr>
          <w:rFonts w:hint="eastAsia" w:ascii="Times New Roman" w:hAnsi="Times New Roman"/>
          <w:color w:val="auto"/>
          <w:sz w:val="24"/>
          <w:szCs w:val="24"/>
          <w:highlight w:val="none"/>
        </w:rPr>
        <w:t>本项目不接受联合体投标（自行作出承诺，格式自拟）</w:t>
      </w:r>
    </w:p>
    <w:p w14:paraId="3018AD7D">
      <w:pPr>
        <w:spacing w:line="48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3.7</w:t>
      </w:r>
      <w:r>
        <w:rPr>
          <w:rFonts w:hint="eastAsia" w:ascii="Times New Roman" w:hAnsi="Times New Roman"/>
          <w:color w:val="auto"/>
          <w:sz w:val="24"/>
          <w:szCs w:val="24"/>
          <w:highlight w:val="none"/>
        </w:rPr>
        <w:t>本次采购实行资格后审，资格审查的具体要求见招标文件。</w:t>
      </w:r>
    </w:p>
    <w:p w14:paraId="3A22B04F">
      <w:pPr>
        <w:spacing w:line="480" w:lineRule="exact"/>
        <w:ind w:firstLine="482" w:firstLineChars="200"/>
        <w:rPr>
          <w:rFonts w:ascii="Times New Roman" w:hAnsi="Times New Roman"/>
          <w:b/>
          <w:bCs/>
          <w:color w:val="auto"/>
          <w:sz w:val="24"/>
          <w:szCs w:val="24"/>
          <w:highlight w:val="none"/>
          <w:shd w:val="clear" w:color="auto" w:fill="FFFFFF"/>
          <w:lang w:bidi="ar"/>
        </w:rPr>
      </w:pPr>
      <w:r>
        <w:rPr>
          <w:rFonts w:hint="eastAsia" w:ascii="Times New Roman" w:hAnsi="Times New Roman"/>
          <w:b/>
          <w:bCs/>
          <w:color w:val="auto"/>
          <w:sz w:val="24"/>
          <w:szCs w:val="24"/>
          <w:highlight w:val="none"/>
          <w:shd w:val="clear" w:color="auto" w:fill="FFFFFF"/>
          <w:lang w:bidi="ar"/>
        </w:rPr>
        <w:t>三、获取招标文件</w:t>
      </w:r>
    </w:p>
    <w:p w14:paraId="680FBB92">
      <w:pPr>
        <w:spacing w:line="480" w:lineRule="exact"/>
        <w:ind w:firstLine="480" w:firstLineChars="200"/>
        <w:rPr>
          <w:rFonts w:ascii="Times New Roman" w:hAnsi="Times New Roman"/>
          <w:color w:val="auto"/>
          <w:sz w:val="24"/>
          <w:szCs w:val="24"/>
          <w:highlight w:val="none"/>
          <w:shd w:val="clear" w:color="auto" w:fill="FFFFFF"/>
          <w:lang w:bidi="ar"/>
        </w:rPr>
      </w:pPr>
      <w:r>
        <w:rPr>
          <w:rFonts w:ascii="Times New Roman" w:hAnsi="Times New Roman"/>
          <w:color w:val="auto"/>
          <w:sz w:val="24"/>
          <w:szCs w:val="24"/>
          <w:highlight w:val="none"/>
          <w:shd w:val="clear" w:color="auto" w:fill="FFFFFF"/>
          <w:lang w:bidi="ar"/>
        </w:rPr>
        <w:t>1.</w:t>
      </w:r>
      <w:r>
        <w:rPr>
          <w:rFonts w:hint="eastAsia" w:ascii="Times New Roman" w:hAnsi="Times New Roman"/>
          <w:color w:val="auto"/>
          <w:sz w:val="24"/>
          <w:szCs w:val="24"/>
          <w:highlight w:val="none"/>
          <w:shd w:val="clear" w:color="auto" w:fill="FFFFFF"/>
          <w:lang w:bidi="ar"/>
        </w:rPr>
        <w:t>时间：</w:t>
      </w:r>
      <w:r>
        <w:rPr>
          <w:rFonts w:ascii="Times New Roman" w:hAnsi="Times New Roman"/>
          <w:color w:val="auto"/>
          <w:sz w:val="24"/>
          <w:highlight w:val="none"/>
          <w:shd w:val="clear" w:color="auto" w:fill="FFFFFF"/>
        </w:rPr>
        <w:t>2025年0</w:t>
      </w:r>
      <w:r>
        <w:rPr>
          <w:rFonts w:hint="eastAsia" w:ascii="Times New Roman" w:hAnsi="Times New Roman"/>
          <w:color w:val="auto"/>
          <w:sz w:val="24"/>
          <w:highlight w:val="none"/>
          <w:shd w:val="clear" w:color="auto" w:fill="FFFFFF"/>
        </w:rPr>
        <w:t>8</w:t>
      </w:r>
      <w:r>
        <w:rPr>
          <w:rFonts w:ascii="Times New Roman" w:hAnsi="Times New Roman"/>
          <w:color w:val="auto"/>
          <w:sz w:val="24"/>
          <w:highlight w:val="none"/>
          <w:shd w:val="clear" w:color="auto" w:fill="FFFFFF"/>
        </w:rPr>
        <w:t>月</w:t>
      </w:r>
      <w:r>
        <w:rPr>
          <w:rFonts w:hint="eastAsia" w:ascii="Times New Roman" w:hAnsi="Times New Roman"/>
          <w:color w:val="auto"/>
          <w:sz w:val="24"/>
          <w:highlight w:val="none"/>
          <w:shd w:val="clear" w:color="auto" w:fill="FFFFFF"/>
        </w:rPr>
        <w:t>27</w:t>
      </w:r>
      <w:r>
        <w:rPr>
          <w:rFonts w:ascii="Times New Roman" w:hAnsi="Times New Roman"/>
          <w:color w:val="auto"/>
          <w:sz w:val="24"/>
          <w:highlight w:val="none"/>
          <w:shd w:val="clear" w:color="auto" w:fill="FFFFFF"/>
        </w:rPr>
        <w:t>日</w:t>
      </w:r>
      <w:r>
        <w:rPr>
          <w:rFonts w:hint="eastAsia" w:ascii="Times New Roman" w:hAnsi="Times New Roman"/>
          <w:color w:val="auto"/>
          <w:sz w:val="24"/>
          <w:highlight w:val="none"/>
          <w:shd w:val="clear" w:color="auto" w:fill="FFFFFF"/>
        </w:rPr>
        <w:t>至2025年09月16日08时30分</w:t>
      </w:r>
      <w:r>
        <w:rPr>
          <w:rFonts w:ascii="Times New Roman" w:hAnsi="Times New Roman"/>
          <w:color w:val="auto"/>
          <w:sz w:val="24"/>
          <w:szCs w:val="24"/>
          <w:highlight w:val="none"/>
          <w:shd w:val="clear" w:color="auto" w:fill="FFFFFF"/>
          <w:lang w:bidi="ar"/>
        </w:rPr>
        <w:t xml:space="preserve"> </w:t>
      </w:r>
    </w:p>
    <w:p w14:paraId="4AE61CC1">
      <w:pPr>
        <w:spacing w:line="480" w:lineRule="exact"/>
        <w:ind w:firstLine="480" w:firstLineChars="200"/>
        <w:rPr>
          <w:rFonts w:ascii="Times New Roman" w:hAnsi="Times New Roman"/>
          <w:color w:val="auto"/>
          <w:sz w:val="24"/>
          <w:szCs w:val="24"/>
          <w:highlight w:val="none"/>
          <w:shd w:val="clear" w:color="auto" w:fill="FFFFFF"/>
          <w:lang w:bidi="ar"/>
        </w:rPr>
      </w:pPr>
      <w:r>
        <w:rPr>
          <w:rFonts w:ascii="Times New Roman" w:hAnsi="Times New Roman"/>
          <w:color w:val="auto"/>
          <w:sz w:val="24"/>
          <w:szCs w:val="24"/>
          <w:highlight w:val="none"/>
          <w:shd w:val="clear" w:color="auto" w:fill="FFFFFF"/>
          <w:lang w:bidi="ar"/>
        </w:rPr>
        <w:t>2.</w:t>
      </w:r>
      <w:r>
        <w:rPr>
          <w:rFonts w:hint="eastAsia" w:ascii="Times New Roman" w:hAnsi="Times New Roman"/>
          <w:color w:val="auto"/>
          <w:sz w:val="24"/>
          <w:szCs w:val="24"/>
          <w:highlight w:val="none"/>
          <w:shd w:val="clear" w:color="auto" w:fill="FFFFFF"/>
          <w:lang w:bidi="ar"/>
        </w:rPr>
        <w:t>地点：三门峡市公共资源交易中心电子交易平台</w:t>
      </w:r>
    </w:p>
    <w:p w14:paraId="70CF6FE3">
      <w:pPr>
        <w:spacing w:line="480" w:lineRule="exact"/>
        <w:ind w:firstLine="480" w:firstLineChars="200"/>
        <w:rPr>
          <w:rFonts w:ascii="Times New Roman" w:hAnsi="Times New Roman"/>
          <w:color w:val="auto"/>
          <w:sz w:val="24"/>
          <w:szCs w:val="24"/>
          <w:highlight w:val="none"/>
          <w:shd w:val="clear" w:color="auto" w:fill="FFFFFF"/>
          <w:lang w:bidi="ar"/>
        </w:rPr>
      </w:pPr>
      <w:r>
        <w:rPr>
          <w:rFonts w:ascii="Times New Roman" w:hAnsi="Times New Roman"/>
          <w:color w:val="auto"/>
          <w:sz w:val="24"/>
          <w:szCs w:val="24"/>
          <w:highlight w:val="none"/>
          <w:shd w:val="clear" w:color="auto" w:fill="FFFFFF"/>
          <w:lang w:bidi="ar"/>
        </w:rPr>
        <w:t>3.</w:t>
      </w:r>
      <w:r>
        <w:rPr>
          <w:rFonts w:hint="eastAsia" w:ascii="Times New Roman" w:hAnsi="Times New Roman"/>
          <w:color w:val="auto"/>
          <w:sz w:val="24"/>
          <w:szCs w:val="24"/>
          <w:highlight w:val="none"/>
          <w:shd w:val="clear" w:color="auto" w:fill="FFFFFF"/>
          <w:lang w:bidi="ar"/>
        </w:rPr>
        <w:t>方式：供应商凭</w:t>
      </w:r>
      <w:r>
        <w:rPr>
          <w:rFonts w:ascii="Times New Roman" w:hAnsi="Times New Roman"/>
          <w:color w:val="auto"/>
          <w:sz w:val="24"/>
          <w:szCs w:val="24"/>
          <w:highlight w:val="none"/>
          <w:shd w:val="clear" w:color="auto" w:fill="FFFFFF"/>
          <w:lang w:bidi="ar"/>
        </w:rPr>
        <w:t>CA</w:t>
      </w:r>
      <w:r>
        <w:rPr>
          <w:rFonts w:hint="eastAsia" w:ascii="Times New Roman" w:hAnsi="Times New Roman"/>
          <w:color w:val="auto"/>
          <w:sz w:val="24"/>
          <w:szCs w:val="24"/>
          <w:highlight w:val="none"/>
          <w:shd w:val="clear" w:color="auto" w:fill="FFFFFF"/>
          <w:lang w:bidi="ar"/>
        </w:rPr>
        <w:t>数字证书通过三门峡市公共资源交易</w:t>
      </w:r>
      <w:r>
        <w:rPr>
          <w:rFonts w:hint="eastAsia" w:ascii="Times New Roman" w:hAnsi="Times New Roman"/>
          <w:color w:val="auto"/>
          <w:sz w:val="24"/>
          <w:szCs w:val="24"/>
          <w:highlight w:val="none"/>
        </w:rPr>
        <w:t>中</w:t>
      </w:r>
      <w:r>
        <w:rPr>
          <w:rFonts w:hint="eastAsia" w:ascii="Times New Roman" w:hAnsi="Times New Roman"/>
          <w:color w:val="auto"/>
          <w:sz w:val="24"/>
          <w:szCs w:val="24"/>
          <w:highlight w:val="none"/>
          <w:shd w:val="clear" w:color="auto" w:fill="FFFFFF"/>
          <w:lang w:bidi="ar"/>
        </w:rPr>
        <w:t>心网（网址：</w:t>
      </w:r>
      <w:r>
        <w:rPr>
          <w:rFonts w:ascii="Times New Roman" w:hAnsi="Times New Roman"/>
          <w:color w:val="auto"/>
          <w:sz w:val="24"/>
          <w:szCs w:val="24"/>
          <w:highlight w:val="none"/>
          <w:shd w:val="clear" w:color="auto" w:fill="FFFFFF"/>
          <w:lang w:bidi="ar"/>
        </w:rPr>
        <w:t>http</w:t>
      </w:r>
      <w:r>
        <w:rPr>
          <w:rFonts w:hint="eastAsia" w:ascii="Times New Roman" w:hAnsi="Times New Roman"/>
          <w:color w:val="auto"/>
          <w:sz w:val="24"/>
          <w:szCs w:val="24"/>
          <w:highlight w:val="none"/>
          <w:shd w:val="clear" w:color="auto" w:fill="FFFFFF"/>
          <w:lang w:bidi="ar"/>
        </w:rPr>
        <w:t>:</w:t>
      </w:r>
      <w:r>
        <w:rPr>
          <w:rFonts w:ascii="Times New Roman" w:hAnsi="Times New Roman"/>
          <w:color w:val="auto"/>
          <w:sz w:val="24"/>
          <w:szCs w:val="24"/>
          <w:highlight w:val="none"/>
          <w:shd w:val="clear" w:color="auto" w:fill="FFFFFF"/>
          <w:lang w:bidi="ar"/>
        </w:rPr>
        <w:t>//gzjy.smx.gov.cn</w:t>
      </w:r>
      <w:r>
        <w:rPr>
          <w:rFonts w:hint="eastAsia" w:ascii="Times New Roman" w:hAnsi="Times New Roman"/>
          <w:color w:val="auto"/>
          <w:sz w:val="24"/>
          <w:szCs w:val="24"/>
          <w:highlight w:val="none"/>
          <w:shd w:val="clear" w:color="auto" w:fill="FFFFFF"/>
          <w:lang w:bidi="ar"/>
        </w:rPr>
        <w:t>），点击交易平台选择“市场主体登录”，在所参与项目右侧点击参与投标，即可直接下载本项目招标文件。</w:t>
      </w:r>
    </w:p>
    <w:p w14:paraId="7DFA4444">
      <w:pPr>
        <w:wordWrap w:val="0"/>
        <w:spacing w:line="480" w:lineRule="exact"/>
        <w:ind w:firstLine="480" w:firstLineChars="200"/>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办理</w:t>
      </w:r>
      <w:r>
        <w:rPr>
          <w:rFonts w:ascii="Times New Roman" w:hAnsi="Times New Roman"/>
          <w:color w:val="auto"/>
          <w:sz w:val="24"/>
          <w:szCs w:val="24"/>
          <w:highlight w:val="none"/>
          <w:shd w:val="clear" w:color="auto" w:fill="FFFFFF"/>
          <w:lang w:bidi="ar"/>
        </w:rPr>
        <w:t>CA</w:t>
      </w:r>
      <w:r>
        <w:rPr>
          <w:rFonts w:hint="eastAsia" w:ascii="Times New Roman" w:hAnsi="Times New Roman"/>
          <w:color w:val="auto"/>
          <w:sz w:val="24"/>
          <w:szCs w:val="24"/>
          <w:highlight w:val="none"/>
          <w:shd w:val="clear" w:color="auto" w:fill="FFFFFF"/>
          <w:lang w:bidi="ar"/>
        </w:rPr>
        <w:t>证书：</w:t>
      </w:r>
      <w:r>
        <w:rPr>
          <w:rFonts w:ascii="Times New Roman" w:hAnsi="Times New Roman"/>
          <w:color w:val="auto"/>
          <w:sz w:val="24"/>
          <w:szCs w:val="24"/>
          <w:highlight w:val="none"/>
          <w:shd w:val="clear" w:color="auto" w:fill="FFFFFF"/>
          <w:lang w:bidi="ar"/>
        </w:rPr>
        <w:t>http</w:t>
      </w:r>
      <w:r>
        <w:rPr>
          <w:rFonts w:hint="eastAsia" w:ascii="Times New Roman" w:hAnsi="Times New Roman"/>
          <w:color w:val="auto"/>
          <w:sz w:val="24"/>
          <w:szCs w:val="24"/>
          <w:highlight w:val="none"/>
          <w:shd w:val="clear" w:color="auto" w:fill="FFFFFF"/>
          <w:lang w:bidi="ar"/>
        </w:rPr>
        <w:t>:</w:t>
      </w:r>
      <w:r>
        <w:rPr>
          <w:rFonts w:ascii="Times New Roman" w:hAnsi="Times New Roman"/>
          <w:color w:val="auto"/>
          <w:sz w:val="24"/>
          <w:szCs w:val="24"/>
          <w:highlight w:val="none"/>
          <w:shd w:val="clear" w:color="auto" w:fill="FFFFFF"/>
          <w:lang w:bidi="ar"/>
        </w:rPr>
        <w:t xml:space="preserve">//gzjy.smx.gov.cn/bzzx/008001/20211105/57b16af9-ab87-4395-a723-7758c628a3f8.html </w:t>
      </w:r>
    </w:p>
    <w:p w14:paraId="1DBE738A">
      <w:pPr>
        <w:spacing w:line="480" w:lineRule="exact"/>
        <w:ind w:firstLine="480" w:firstLineChars="200"/>
        <w:rPr>
          <w:rFonts w:ascii="Times New Roman" w:hAnsi="Times New Roman"/>
          <w:color w:val="auto"/>
          <w:sz w:val="24"/>
          <w:szCs w:val="24"/>
          <w:highlight w:val="none"/>
          <w:shd w:val="clear" w:color="auto" w:fill="FFFFFF"/>
          <w:lang w:bidi="ar"/>
        </w:rPr>
      </w:pPr>
      <w:r>
        <w:rPr>
          <w:rFonts w:ascii="Times New Roman" w:hAnsi="Times New Roman"/>
          <w:color w:val="auto"/>
          <w:sz w:val="24"/>
          <w:szCs w:val="24"/>
          <w:highlight w:val="none"/>
          <w:shd w:val="clear" w:color="auto" w:fill="FFFFFF"/>
          <w:lang w:bidi="ar"/>
        </w:rPr>
        <w:t>4.</w:t>
      </w:r>
      <w:r>
        <w:rPr>
          <w:rFonts w:hint="eastAsia" w:ascii="Times New Roman" w:hAnsi="Times New Roman"/>
          <w:color w:val="auto"/>
          <w:sz w:val="24"/>
          <w:szCs w:val="24"/>
          <w:highlight w:val="none"/>
          <w:shd w:val="clear" w:color="auto" w:fill="FFFFFF"/>
          <w:lang w:bidi="ar"/>
        </w:rPr>
        <w:t>售价：</w:t>
      </w:r>
      <w:r>
        <w:rPr>
          <w:rFonts w:ascii="Times New Roman" w:hAnsi="Times New Roman"/>
          <w:color w:val="auto"/>
          <w:sz w:val="24"/>
          <w:szCs w:val="24"/>
          <w:highlight w:val="none"/>
          <w:shd w:val="clear" w:color="auto" w:fill="FFFFFF"/>
          <w:lang w:bidi="ar"/>
        </w:rPr>
        <w:t>0</w:t>
      </w:r>
      <w:r>
        <w:rPr>
          <w:rFonts w:hint="eastAsia" w:ascii="Times New Roman" w:hAnsi="Times New Roman"/>
          <w:color w:val="auto"/>
          <w:sz w:val="24"/>
          <w:szCs w:val="24"/>
          <w:highlight w:val="none"/>
          <w:shd w:val="clear" w:color="auto" w:fill="FFFFFF"/>
          <w:lang w:bidi="ar"/>
        </w:rPr>
        <w:t>元</w:t>
      </w:r>
    </w:p>
    <w:p w14:paraId="0C10294C">
      <w:pPr>
        <w:spacing w:line="480" w:lineRule="exact"/>
        <w:ind w:firstLine="482" w:firstLineChars="200"/>
        <w:rPr>
          <w:rFonts w:ascii="Times New Roman" w:hAnsi="Times New Roman"/>
          <w:color w:val="auto"/>
          <w:sz w:val="24"/>
          <w:szCs w:val="24"/>
          <w:highlight w:val="none"/>
          <w:shd w:val="clear" w:color="auto" w:fill="FFFFFF"/>
          <w:lang w:bidi="ar"/>
        </w:rPr>
      </w:pPr>
      <w:r>
        <w:rPr>
          <w:rFonts w:hint="eastAsia" w:ascii="Times New Roman" w:hAnsi="Times New Roman"/>
          <w:b/>
          <w:bCs/>
          <w:color w:val="auto"/>
          <w:sz w:val="24"/>
          <w:szCs w:val="24"/>
          <w:highlight w:val="none"/>
          <w:shd w:val="clear" w:color="auto" w:fill="FFFFFF"/>
          <w:lang w:bidi="ar"/>
        </w:rPr>
        <w:t>四、投标截止时间及地点</w:t>
      </w:r>
    </w:p>
    <w:p w14:paraId="1B16551E">
      <w:pPr>
        <w:spacing w:line="480" w:lineRule="exact"/>
        <w:ind w:firstLine="480" w:firstLineChars="200"/>
        <w:rPr>
          <w:rFonts w:ascii="Times New Roman" w:hAnsi="Times New Roman"/>
          <w:color w:val="auto"/>
          <w:sz w:val="24"/>
          <w:szCs w:val="24"/>
          <w:highlight w:val="none"/>
          <w:shd w:val="clear" w:color="auto" w:fill="FFFFFF"/>
          <w:lang w:bidi="ar"/>
        </w:rPr>
      </w:pPr>
      <w:r>
        <w:rPr>
          <w:rFonts w:ascii="Times New Roman" w:hAnsi="Times New Roman"/>
          <w:color w:val="auto"/>
          <w:sz w:val="24"/>
          <w:szCs w:val="24"/>
          <w:highlight w:val="none"/>
          <w:shd w:val="clear" w:color="auto" w:fill="FFFFFF"/>
          <w:lang w:bidi="ar"/>
        </w:rPr>
        <w:t>1.</w:t>
      </w:r>
      <w:r>
        <w:rPr>
          <w:rFonts w:hint="eastAsia" w:ascii="Times New Roman" w:hAnsi="Times New Roman"/>
          <w:color w:val="auto"/>
          <w:sz w:val="24"/>
          <w:szCs w:val="24"/>
          <w:highlight w:val="none"/>
          <w:shd w:val="clear" w:color="auto" w:fill="FFFFFF"/>
          <w:lang w:bidi="ar"/>
        </w:rPr>
        <w:t>时间：2025年09月16日08时30分（北京时间）</w:t>
      </w:r>
    </w:p>
    <w:p w14:paraId="4BF33ADC">
      <w:pPr>
        <w:spacing w:line="480" w:lineRule="exact"/>
        <w:ind w:firstLine="480" w:firstLineChars="200"/>
        <w:rPr>
          <w:rFonts w:ascii="Times New Roman" w:hAnsi="Times New Roman"/>
          <w:color w:val="auto"/>
          <w:sz w:val="24"/>
          <w:szCs w:val="24"/>
          <w:highlight w:val="none"/>
          <w:shd w:val="clear" w:color="auto" w:fill="FFFFFF"/>
          <w:lang w:bidi="ar"/>
        </w:rPr>
      </w:pPr>
      <w:r>
        <w:rPr>
          <w:rFonts w:ascii="Times New Roman" w:hAnsi="Times New Roman"/>
          <w:color w:val="auto"/>
          <w:sz w:val="24"/>
          <w:szCs w:val="24"/>
          <w:highlight w:val="none"/>
          <w:shd w:val="clear" w:color="auto" w:fill="FFFFFF"/>
          <w:lang w:bidi="ar"/>
        </w:rPr>
        <w:t>2.</w:t>
      </w:r>
      <w:r>
        <w:rPr>
          <w:rFonts w:hint="eastAsia" w:ascii="Times New Roman" w:hAnsi="Times New Roman"/>
          <w:color w:val="auto"/>
          <w:sz w:val="24"/>
          <w:szCs w:val="24"/>
          <w:highlight w:val="none"/>
          <w:shd w:val="clear" w:color="auto" w:fill="FFFFFF"/>
          <w:lang w:bidi="ar"/>
        </w:rPr>
        <w:t>地点：加密电子投标文件须在投标截止时间前通过三门峡市公共资源交易中心电子交易平台加密上传。逾期上传的或者未上传指定地点的投标文件，采购人不予受理。</w:t>
      </w:r>
    </w:p>
    <w:p w14:paraId="7C7CFCF5">
      <w:pPr>
        <w:spacing w:line="480" w:lineRule="exact"/>
        <w:ind w:firstLine="482" w:firstLineChars="200"/>
        <w:rPr>
          <w:rFonts w:ascii="Times New Roman" w:hAnsi="Times New Roman"/>
          <w:b/>
          <w:bCs/>
          <w:color w:val="auto"/>
          <w:sz w:val="24"/>
          <w:szCs w:val="24"/>
          <w:highlight w:val="none"/>
          <w:shd w:val="clear" w:color="auto" w:fill="FFFFFF"/>
          <w:lang w:bidi="ar"/>
        </w:rPr>
      </w:pPr>
      <w:r>
        <w:rPr>
          <w:rFonts w:hint="eastAsia" w:ascii="Times New Roman" w:hAnsi="Times New Roman"/>
          <w:b/>
          <w:bCs/>
          <w:color w:val="auto"/>
          <w:sz w:val="24"/>
          <w:szCs w:val="24"/>
          <w:highlight w:val="none"/>
          <w:shd w:val="clear" w:color="auto" w:fill="FFFFFF"/>
          <w:lang w:bidi="ar"/>
        </w:rPr>
        <w:t>五、开标时间及地点</w:t>
      </w:r>
    </w:p>
    <w:p w14:paraId="12EFE164">
      <w:pPr>
        <w:spacing w:line="480" w:lineRule="exact"/>
        <w:ind w:firstLine="480" w:firstLineChars="200"/>
        <w:rPr>
          <w:rFonts w:ascii="Times New Roman" w:hAnsi="Times New Roman"/>
          <w:color w:val="auto"/>
          <w:sz w:val="24"/>
          <w:szCs w:val="24"/>
          <w:highlight w:val="none"/>
          <w:shd w:val="clear" w:color="auto" w:fill="FFFFFF"/>
          <w:lang w:bidi="ar"/>
        </w:rPr>
      </w:pPr>
      <w:r>
        <w:rPr>
          <w:rFonts w:ascii="Times New Roman" w:hAnsi="Times New Roman"/>
          <w:color w:val="auto"/>
          <w:sz w:val="24"/>
          <w:szCs w:val="24"/>
          <w:highlight w:val="none"/>
          <w:shd w:val="clear" w:color="auto" w:fill="FFFFFF"/>
          <w:lang w:bidi="ar"/>
        </w:rPr>
        <w:t>1.</w:t>
      </w:r>
      <w:r>
        <w:rPr>
          <w:rFonts w:hint="eastAsia" w:ascii="Times New Roman" w:hAnsi="Times New Roman"/>
          <w:color w:val="auto"/>
          <w:sz w:val="24"/>
          <w:szCs w:val="24"/>
          <w:highlight w:val="none"/>
          <w:shd w:val="clear" w:color="auto" w:fill="FFFFFF"/>
          <w:lang w:bidi="ar"/>
        </w:rPr>
        <w:t>时间：2025年09月16日08时30分（北京时间）</w:t>
      </w:r>
    </w:p>
    <w:p w14:paraId="046EAAAB">
      <w:pPr>
        <w:spacing w:line="480" w:lineRule="exact"/>
        <w:ind w:firstLine="480" w:firstLineChars="200"/>
        <w:rPr>
          <w:rFonts w:ascii="Times New Roman" w:hAnsi="Times New Roman"/>
          <w:color w:val="auto"/>
          <w:sz w:val="24"/>
          <w:szCs w:val="24"/>
          <w:highlight w:val="none"/>
          <w:shd w:val="clear" w:color="auto" w:fill="FFFFFF"/>
          <w:lang w:bidi="ar"/>
        </w:rPr>
      </w:pPr>
      <w:r>
        <w:rPr>
          <w:rFonts w:ascii="Times New Roman" w:hAnsi="Times New Roman"/>
          <w:color w:val="auto"/>
          <w:sz w:val="24"/>
          <w:szCs w:val="24"/>
          <w:highlight w:val="none"/>
          <w:shd w:val="clear" w:color="auto" w:fill="FFFFFF"/>
          <w:lang w:bidi="ar"/>
        </w:rPr>
        <w:t>2.</w:t>
      </w:r>
      <w:r>
        <w:rPr>
          <w:rFonts w:hint="eastAsia" w:ascii="Times New Roman" w:hAnsi="Times New Roman"/>
          <w:color w:val="auto"/>
          <w:sz w:val="24"/>
          <w:szCs w:val="24"/>
          <w:highlight w:val="none"/>
          <w:shd w:val="clear" w:color="auto" w:fill="FFFFFF"/>
          <w:lang w:bidi="ar"/>
        </w:rPr>
        <w:t>地点：灵宝市公共资源交易中心</w:t>
      </w:r>
      <w:r>
        <w:rPr>
          <w:rFonts w:hint="eastAsia" w:ascii="Times New Roman" w:hAnsi="Times New Roman"/>
          <w:color w:val="auto"/>
          <w:sz w:val="24"/>
          <w:szCs w:val="24"/>
          <w:highlight w:val="none"/>
          <w:shd w:val="clear" w:color="auto" w:fill="FFFFFF"/>
          <w:lang w:eastAsia="zh-CN" w:bidi="ar"/>
        </w:rPr>
        <w:t>开标二室、评标二室</w:t>
      </w:r>
      <w:r>
        <w:rPr>
          <w:rFonts w:hint="eastAsia" w:ascii="Times New Roman" w:hAnsi="Times New Roman"/>
          <w:color w:val="auto"/>
          <w:sz w:val="24"/>
          <w:szCs w:val="24"/>
          <w:highlight w:val="none"/>
          <w:shd w:val="clear" w:color="auto" w:fill="FFFFFF"/>
          <w:lang w:bidi="ar"/>
        </w:rPr>
        <w:t>（灵宝市信用合作联社</w:t>
      </w:r>
      <w:r>
        <w:rPr>
          <w:rFonts w:ascii="Times New Roman" w:hAnsi="Times New Roman"/>
          <w:color w:val="auto"/>
          <w:sz w:val="24"/>
          <w:szCs w:val="24"/>
          <w:highlight w:val="none"/>
          <w:shd w:val="clear" w:color="auto" w:fill="FFFFFF"/>
          <w:lang w:bidi="ar"/>
        </w:rPr>
        <w:t xml:space="preserve"> 12 </w:t>
      </w:r>
      <w:r>
        <w:rPr>
          <w:rFonts w:hint="eastAsia" w:ascii="Times New Roman" w:hAnsi="Times New Roman"/>
          <w:color w:val="auto"/>
          <w:sz w:val="24"/>
          <w:szCs w:val="24"/>
          <w:highlight w:val="none"/>
          <w:shd w:val="clear" w:color="auto" w:fill="FFFFFF"/>
          <w:lang w:bidi="ar"/>
        </w:rPr>
        <w:t>楼）。</w:t>
      </w:r>
    </w:p>
    <w:p w14:paraId="3C9A918A">
      <w:pPr>
        <w:spacing w:line="480" w:lineRule="exact"/>
        <w:ind w:firstLine="484" w:firstLineChars="201"/>
        <w:rPr>
          <w:rFonts w:ascii="Times New Roman" w:hAnsi="Times New Roman"/>
          <w:b/>
          <w:bCs/>
          <w:color w:val="auto"/>
          <w:sz w:val="24"/>
          <w:szCs w:val="24"/>
          <w:highlight w:val="none"/>
          <w:shd w:val="clear" w:color="auto" w:fill="FFFFFF"/>
          <w:lang w:bidi="ar"/>
        </w:rPr>
      </w:pPr>
      <w:r>
        <w:rPr>
          <w:rFonts w:hint="eastAsia" w:ascii="Times New Roman" w:hAnsi="Times New Roman"/>
          <w:b/>
          <w:bCs/>
          <w:color w:val="auto"/>
          <w:sz w:val="24"/>
          <w:szCs w:val="24"/>
          <w:highlight w:val="none"/>
          <w:shd w:val="clear" w:color="auto" w:fill="FFFFFF"/>
          <w:lang w:bidi="ar"/>
        </w:rPr>
        <w:t>六、发布公告的媒介及招标公告期限</w:t>
      </w:r>
    </w:p>
    <w:p w14:paraId="07033355">
      <w:pPr>
        <w:spacing w:line="480" w:lineRule="exact"/>
        <w:ind w:firstLine="480" w:firstLineChars="200"/>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本次招标公告在</w:t>
      </w:r>
      <w:r>
        <w:rPr>
          <w:rFonts w:hint="eastAsia" w:ascii="Times New Roman" w:hAnsi="Times New Roman"/>
          <w:color w:val="auto"/>
          <w:sz w:val="24"/>
          <w:szCs w:val="24"/>
          <w:highlight w:val="none"/>
          <w:shd w:val="clear" w:color="auto" w:fill="FFFFFF"/>
          <w:lang w:eastAsia="zh-CN" w:bidi="ar"/>
        </w:rPr>
        <w:t>《三门峡市公共资源交易中心网》《河南省政府采购网》《中国政府采购网》</w:t>
      </w:r>
      <w:r>
        <w:rPr>
          <w:rFonts w:hint="eastAsia" w:ascii="Times New Roman" w:hAnsi="Times New Roman"/>
          <w:color w:val="auto"/>
          <w:sz w:val="24"/>
          <w:szCs w:val="24"/>
          <w:highlight w:val="none"/>
          <w:shd w:val="clear" w:color="auto" w:fill="FFFFFF"/>
          <w:lang w:bidi="ar"/>
        </w:rPr>
        <w:t>《中国采购与招标网》等媒体上发布</w:t>
      </w:r>
      <w:r>
        <w:rPr>
          <w:rFonts w:hint="eastAsia" w:ascii="Times New Roman" w:hAnsi="Times New Roman"/>
          <w:color w:val="auto"/>
          <w:sz w:val="24"/>
          <w:szCs w:val="24"/>
          <w:highlight w:val="none"/>
          <w:shd w:val="clear" w:color="auto" w:fill="FFFFFF"/>
          <w:lang w:eastAsia="zh-CN" w:bidi="ar"/>
        </w:rPr>
        <w:t>，</w:t>
      </w:r>
      <w:r>
        <w:rPr>
          <w:rFonts w:hint="eastAsia" w:ascii="Times New Roman" w:hAnsi="Times New Roman"/>
          <w:color w:val="auto"/>
          <w:sz w:val="24"/>
          <w:szCs w:val="24"/>
          <w:highlight w:val="none"/>
          <w:shd w:val="clear" w:color="auto" w:fill="FFFFFF"/>
          <w:lang w:bidi="ar"/>
        </w:rPr>
        <w:t>招标公告期限为五个工作日。</w:t>
      </w:r>
    </w:p>
    <w:p w14:paraId="5E29FFAD">
      <w:pPr>
        <w:spacing w:line="480" w:lineRule="exact"/>
        <w:ind w:firstLine="482" w:firstLineChars="200"/>
        <w:rPr>
          <w:rFonts w:ascii="Times New Roman" w:hAnsi="Times New Roman"/>
          <w:b/>
          <w:bCs/>
          <w:color w:val="auto"/>
          <w:sz w:val="24"/>
          <w:szCs w:val="24"/>
          <w:highlight w:val="none"/>
          <w:shd w:val="clear" w:color="auto" w:fill="FFFFFF"/>
          <w:lang w:bidi="ar"/>
        </w:rPr>
      </w:pPr>
      <w:r>
        <w:rPr>
          <w:rFonts w:hint="eastAsia" w:ascii="Times New Roman" w:hAnsi="Times New Roman"/>
          <w:b/>
          <w:bCs/>
          <w:color w:val="auto"/>
          <w:sz w:val="24"/>
          <w:szCs w:val="24"/>
          <w:highlight w:val="none"/>
          <w:shd w:val="clear" w:color="auto" w:fill="FFFFFF"/>
          <w:lang w:bidi="ar"/>
        </w:rPr>
        <w:t>七、其他补充事宜</w:t>
      </w:r>
    </w:p>
    <w:p w14:paraId="3FB83C43">
      <w:pPr>
        <w:wordWrap w:val="0"/>
        <w:spacing w:line="480" w:lineRule="exact"/>
        <w:ind w:firstLine="480" w:firstLineChars="200"/>
        <w:rPr>
          <w:rFonts w:ascii="Times New Roman" w:hAnsi="Times New Roman"/>
          <w:color w:val="auto"/>
          <w:sz w:val="24"/>
          <w:szCs w:val="24"/>
          <w:highlight w:val="none"/>
          <w:shd w:val="clear" w:color="auto" w:fill="FFFFFF"/>
          <w:lang w:bidi="ar"/>
        </w:rPr>
      </w:pPr>
      <w:r>
        <w:rPr>
          <w:rFonts w:ascii="Times New Roman" w:hAnsi="Times New Roman"/>
          <w:color w:val="auto"/>
          <w:sz w:val="24"/>
          <w:szCs w:val="24"/>
          <w:highlight w:val="none"/>
          <w:shd w:val="clear" w:color="auto" w:fill="FFFFFF"/>
          <w:lang w:bidi="ar"/>
        </w:rPr>
        <w:t>1.</w:t>
      </w:r>
      <w:bookmarkStart w:id="8" w:name="_Hlk151208863"/>
      <w:r>
        <w:rPr>
          <w:rFonts w:hint="eastAsia" w:ascii="Times New Roman" w:hAnsi="Times New Roman"/>
          <w:color w:val="auto"/>
          <w:sz w:val="24"/>
          <w:szCs w:val="24"/>
          <w:highlight w:val="none"/>
          <w:shd w:val="clear" w:color="auto" w:fill="FFFFFF"/>
          <w:lang w:bidi="ar"/>
        </w:rPr>
        <w:t>本项目为不见面开标项目，开标当日，供应商无需到开标现场参加开标会议，供应商应当在投标截止时间前，登陆不见面开标大厅选择登陆三门峡市公共资源电子招投标系统进行登陆（网址为</w:t>
      </w:r>
      <w:r>
        <w:rPr>
          <w:rFonts w:ascii="Times New Roman" w:hAnsi="Times New Roman"/>
          <w:color w:val="auto"/>
          <w:sz w:val="24"/>
          <w:szCs w:val="24"/>
          <w:highlight w:val="none"/>
          <w:shd w:val="clear" w:color="auto" w:fill="FFFFFF"/>
          <w:lang w:bidi="ar"/>
        </w:rPr>
        <w:t>http</w:t>
      </w:r>
      <w:r>
        <w:rPr>
          <w:rFonts w:hint="eastAsia" w:ascii="Times New Roman" w:hAnsi="Times New Roman"/>
          <w:color w:val="auto"/>
          <w:sz w:val="24"/>
          <w:szCs w:val="24"/>
          <w:highlight w:val="none"/>
          <w:shd w:val="clear" w:color="auto" w:fill="FFFFFF"/>
          <w:lang w:bidi="ar"/>
        </w:rPr>
        <w:t>:</w:t>
      </w:r>
      <w:r>
        <w:rPr>
          <w:rFonts w:ascii="Times New Roman" w:hAnsi="Times New Roman"/>
          <w:color w:val="auto"/>
          <w:sz w:val="24"/>
          <w:szCs w:val="24"/>
          <w:highlight w:val="none"/>
          <w:shd w:val="clear" w:color="auto" w:fill="FFFFFF"/>
          <w:lang w:bidi="ar"/>
        </w:rPr>
        <w:t>//122.112.246.33/BidOpening/bidopeninghallaction/hall/login</w:t>
      </w:r>
      <w:r>
        <w:rPr>
          <w:rFonts w:hint="eastAsia" w:ascii="Times New Roman" w:hAnsi="Times New Roman"/>
          <w:color w:val="auto"/>
          <w:sz w:val="24"/>
          <w:szCs w:val="24"/>
          <w:highlight w:val="none"/>
          <w:shd w:val="clear" w:color="auto" w:fill="FFFFFF"/>
          <w:lang w:bidi="ar"/>
        </w:rPr>
        <w:t>）</w:t>
      </w:r>
      <w:r>
        <w:rPr>
          <w:rFonts w:ascii="Times New Roman" w:hAnsi="Times New Roman"/>
          <w:color w:val="auto"/>
          <w:sz w:val="24"/>
          <w:szCs w:val="24"/>
          <w:highlight w:val="none"/>
          <w:shd w:val="clear" w:color="auto" w:fill="FFFFFF"/>
          <w:lang w:bidi="ar"/>
        </w:rPr>
        <w:t>,</w:t>
      </w:r>
      <w:r>
        <w:rPr>
          <w:rFonts w:hint="eastAsia" w:ascii="Times New Roman" w:hAnsi="Times New Roman"/>
          <w:color w:val="auto"/>
          <w:sz w:val="24"/>
          <w:szCs w:val="24"/>
          <w:highlight w:val="none"/>
          <w:shd w:val="clear" w:color="auto" w:fill="FFFFFF"/>
          <w:lang w:bidi="ar"/>
        </w:rPr>
        <w:t>在线准时参加开标活动并进行投标文件解密等。每位供应商的解密时间为开标时间起</w:t>
      </w:r>
      <w:r>
        <w:rPr>
          <w:rFonts w:ascii="Times New Roman" w:hAnsi="Times New Roman"/>
          <w:color w:val="auto"/>
          <w:sz w:val="24"/>
          <w:szCs w:val="24"/>
          <w:highlight w:val="none"/>
          <w:shd w:val="clear" w:color="auto" w:fill="FFFFFF"/>
          <w:lang w:bidi="ar"/>
        </w:rPr>
        <w:t xml:space="preserve">30 </w:t>
      </w:r>
      <w:r>
        <w:rPr>
          <w:rFonts w:hint="eastAsia" w:ascii="Times New Roman" w:hAnsi="Times New Roman"/>
          <w:color w:val="auto"/>
          <w:sz w:val="24"/>
          <w:szCs w:val="24"/>
          <w:highlight w:val="none"/>
          <w:shd w:val="clear" w:color="auto" w:fill="FFFFFF"/>
          <w:lang w:bidi="ar"/>
        </w:rPr>
        <w:t>分钟内完成。因供应商原因未能解密、解密失败或解密超时的将被拒绝。</w:t>
      </w:r>
      <w:bookmarkEnd w:id="8"/>
    </w:p>
    <w:p w14:paraId="0E0242A9">
      <w:pPr>
        <w:spacing w:line="480" w:lineRule="exact"/>
        <w:ind w:firstLine="480" w:firstLineChars="200"/>
        <w:rPr>
          <w:rFonts w:ascii="Times New Roman" w:hAnsi="Times New Roman"/>
          <w:color w:val="auto"/>
          <w:sz w:val="24"/>
          <w:szCs w:val="24"/>
          <w:highlight w:val="none"/>
          <w:shd w:val="clear" w:color="auto" w:fill="FFFFFF"/>
          <w:lang w:bidi="ar"/>
        </w:rPr>
      </w:pPr>
      <w:r>
        <w:rPr>
          <w:rFonts w:ascii="Times New Roman" w:hAnsi="Times New Roman"/>
          <w:color w:val="auto"/>
          <w:sz w:val="24"/>
          <w:szCs w:val="24"/>
          <w:highlight w:val="none"/>
          <w:shd w:val="clear" w:color="auto" w:fill="FFFFFF"/>
          <w:lang w:bidi="ar"/>
        </w:rPr>
        <w:t>2.</w:t>
      </w:r>
      <w:r>
        <w:rPr>
          <w:rFonts w:hint="eastAsia" w:ascii="Times New Roman" w:hAnsi="Times New Roman"/>
          <w:color w:val="auto"/>
          <w:sz w:val="24"/>
          <w:szCs w:val="24"/>
          <w:highlight w:val="none"/>
          <w:shd w:val="clear" w:color="auto" w:fill="FFFFFF"/>
          <w:lang w:bidi="ar"/>
        </w:rPr>
        <w:t>根据《河南省财政厅关于优化政府采购营商环境有关问题的通知》（豫财购【</w:t>
      </w:r>
      <w:r>
        <w:rPr>
          <w:rFonts w:ascii="Times New Roman" w:hAnsi="Times New Roman"/>
          <w:color w:val="auto"/>
          <w:sz w:val="24"/>
          <w:szCs w:val="24"/>
          <w:highlight w:val="none"/>
          <w:shd w:val="clear" w:color="auto" w:fill="FFFFFF"/>
          <w:lang w:bidi="ar"/>
        </w:rPr>
        <w:t>2019</w:t>
      </w:r>
      <w:r>
        <w:rPr>
          <w:rFonts w:hint="eastAsia" w:ascii="Times New Roman" w:hAnsi="Times New Roman"/>
          <w:color w:val="auto"/>
          <w:sz w:val="24"/>
          <w:szCs w:val="24"/>
          <w:highlight w:val="none"/>
          <w:shd w:val="clear" w:color="auto" w:fill="FFFFFF"/>
          <w:lang w:bidi="ar"/>
        </w:rPr>
        <w:t>】</w:t>
      </w:r>
      <w:r>
        <w:rPr>
          <w:rFonts w:ascii="Times New Roman" w:hAnsi="Times New Roman"/>
          <w:color w:val="auto"/>
          <w:sz w:val="24"/>
          <w:szCs w:val="24"/>
          <w:highlight w:val="none"/>
          <w:shd w:val="clear" w:color="auto" w:fill="FFFFFF"/>
          <w:lang w:bidi="ar"/>
        </w:rPr>
        <w:t>4</w:t>
      </w:r>
      <w:r>
        <w:rPr>
          <w:rFonts w:hint="eastAsia" w:ascii="Times New Roman" w:hAnsi="Times New Roman"/>
          <w:color w:val="auto"/>
          <w:sz w:val="24"/>
          <w:szCs w:val="24"/>
          <w:highlight w:val="none"/>
          <w:shd w:val="clear" w:color="auto" w:fill="FFFFFF"/>
          <w:lang w:bidi="ar"/>
        </w:rPr>
        <w:t>号）第</w:t>
      </w:r>
      <w:r>
        <w:rPr>
          <w:rFonts w:ascii="Times New Roman" w:hAnsi="Times New Roman"/>
          <w:color w:val="auto"/>
          <w:sz w:val="24"/>
          <w:szCs w:val="24"/>
          <w:highlight w:val="none"/>
          <w:shd w:val="clear" w:color="auto" w:fill="FFFFFF"/>
          <w:lang w:bidi="ar"/>
        </w:rPr>
        <w:t>6</w:t>
      </w:r>
      <w:r>
        <w:rPr>
          <w:rFonts w:hint="eastAsia" w:ascii="Times New Roman" w:hAnsi="Times New Roman"/>
          <w:color w:val="auto"/>
          <w:sz w:val="24"/>
          <w:szCs w:val="24"/>
          <w:highlight w:val="none"/>
          <w:shd w:val="clear" w:color="auto" w:fill="FFFFFF"/>
          <w:lang w:bidi="ar"/>
        </w:rPr>
        <w:t>条的规定，投标保证金不再收取。</w:t>
      </w:r>
    </w:p>
    <w:p w14:paraId="3E66C853">
      <w:pPr>
        <w:spacing w:line="48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3.</w:t>
      </w:r>
      <w:r>
        <w:rPr>
          <w:rFonts w:hint="eastAsia" w:ascii="Times New Roman" w:hAnsi="Times New Roman"/>
          <w:color w:val="auto"/>
          <w:sz w:val="24"/>
          <w:szCs w:val="24"/>
          <w:highlight w:val="none"/>
        </w:rPr>
        <w:t>本项目实行资格后审，评审中资格审查、评审打分以投标文件为准，其上传资料真实性由供应商自行承担，同时，供应商要完善主体库。</w:t>
      </w:r>
    </w:p>
    <w:p w14:paraId="3568C4E1">
      <w:pPr>
        <w:spacing w:line="480" w:lineRule="exact"/>
        <w:ind w:firstLine="480" w:firstLineChars="200"/>
        <w:rPr>
          <w:rFonts w:ascii="Times New Roman" w:hAnsi="Times New Roman"/>
          <w:color w:val="auto"/>
          <w:sz w:val="24"/>
          <w:szCs w:val="24"/>
          <w:highlight w:val="none"/>
          <w:shd w:val="clear" w:color="auto" w:fill="FFFFFF"/>
          <w:lang w:bidi="ar"/>
        </w:rPr>
      </w:pPr>
      <w:r>
        <w:rPr>
          <w:rFonts w:ascii="Times New Roman" w:hAnsi="Times New Roman"/>
          <w:color w:val="auto"/>
          <w:sz w:val="24"/>
          <w:szCs w:val="24"/>
          <w:highlight w:val="none"/>
          <w:shd w:val="clear" w:color="auto" w:fill="FFFFFF"/>
          <w:lang w:bidi="ar"/>
        </w:rPr>
        <w:t>4.</w:t>
      </w:r>
      <w:r>
        <w:rPr>
          <w:rFonts w:hint="eastAsia" w:ascii="Times New Roman" w:hAnsi="Times New Roman"/>
          <w:color w:val="auto"/>
          <w:sz w:val="24"/>
          <w:szCs w:val="24"/>
          <w:highlight w:val="none"/>
          <w:shd w:val="clear" w:color="auto" w:fill="FFFFFF"/>
          <w:lang w:bidi="ar"/>
        </w:rPr>
        <w:t>本项目为电子化、无纸化交易项目，开标时不再接受任何纸质资料，为保证您能投标成功，请需仔细阅读招标文件和三门峡市公共资源交易中心官网业务办理指南。</w:t>
      </w:r>
    </w:p>
    <w:p w14:paraId="7492A851">
      <w:pPr>
        <w:spacing w:line="480" w:lineRule="exact"/>
        <w:ind w:firstLine="480" w:firstLineChars="200"/>
        <w:rPr>
          <w:rFonts w:ascii="Times New Roman" w:hAnsi="Times New Roman"/>
          <w:color w:val="auto"/>
          <w:sz w:val="24"/>
          <w:szCs w:val="24"/>
          <w:highlight w:val="none"/>
          <w:shd w:val="clear" w:color="auto" w:fill="FFFFFF"/>
          <w:lang w:bidi="ar"/>
        </w:rPr>
      </w:pPr>
      <w:r>
        <w:rPr>
          <w:rFonts w:ascii="Times New Roman" w:hAnsi="Times New Roman"/>
          <w:color w:val="auto"/>
          <w:sz w:val="24"/>
          <w:szCs w:val="24"/>
          <w:highlight w:val="none"/>
          <w:shd w:val="clear" w:color="auto" w:fill="FFFFFF"/>
          <w:lang w:bidi="ar"/>
        </w:rPr>
        <w:t>5.</w:t>
      </w:r>
      <w:r>
        <w:rPr>
          <w:rFonts w:hint="eastAsia" w:ascii="Times New Roman" w:hAnsi="Times New Roman"/>
          <w:color w:val="auto"/>
          <w:sz w:val="24"/>
          <w:szCs w:val="24"/>
          <w:highlight w:val="none"/>
          <w:shd w:val="clear" w:color="auto" w:fill="FFFFFF"/>
          <w:lang w:bidi="ar"/>
        </w:rPr>
        <w:t>根据优化营商环境的要求，评标时以投标文件为准：</w:t>
      </w:r>
    </w:p>
    <w:p w14:paraId="00DE6590">
      <w:pPr>
        <w:spacing w:line="480" w:lineRule="exact"/>
        <w:ind w:firstLine="480" w:firstLineChars="200"/>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w:t>
      </w:r>
      <w:r>
        <w:rPr>
          <w:rFonts w:ascii="Times New Roman" w:hAnsi="Times New Roman"/>
          <w:color w:val="auto"/>
          <w:sz w:val="24"/>
          <w:szCs w:val="24"/>
          <w:highlight w:val="none"/>
          <w:shd w:val="clear" w:color="auto" w:fill="FFFFFF"/>
          <w:lang w:bidi="ar"/>
        </w:rPr>
        <w:t>1</w:t>
      </w:r>
      <w:r>
        <w:rPr>
          <w:rFonts w:hint="eastAsia" w:ascii="Times New Roman" w:hAnsi="Times New Roman"/>
          <w:color w:val="auto"/>
          <w:sz w:val="24"/>
          <w:szCs w:val="24"/>
          <w:highlight w:val="none"/>
          <w:shd w:val="clear" w:color="auto" w:fill="FFFFFF"/>
          <w:lang w:bidi="ar"/>
        </w:rPr>
        <w:t>）资格评（预）审部分：资格评（预）以投标文件为准，其上传资料真实性由供应商自行承担，同时，供应商要完善主体库。</w:t>
      </w:r>
    </w:p>
    <w:p w14:paraId="250BF2C1">
      <w:pPr>
        <w:spacing w:line="480" w:lineRule="exact"/>
        <w:ind w:firstLine="480" w:firstLineChars="200"/>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w:t>
      </w:r>
      <w:r>
        <w:rPr>
          <w:rFonts w:ascii="Times New Roman" w:hAnsi="Times New Roman"/>
          <w:color w:val="auto"/>
          <w:sz w:val="24"/>
          <w:szCs w:val="24"/>
          <w:highlight w:val="none"/>
          <w:shd w:val="clear" w:color="auto" w:fill="FFFFFF"/>
          <w:lang w:bidi="ar"/>
        </w:rPr>
        <w:t>2</w:t>
      </w:r>
      <w:r>
        <w:rPr>
          <w:rFonts w:hint="eastAsia" w:ascii="Times New Roman" w:hAnsi="Times New Roman"/>
          <w:color w:val="auto"/>
          <w:sz w:val="24"/>
          <w:szCs w:val="24"/>
          <w:highlight w:val="none"/>
          <w:shd w:val="clear" w:color="auto" w:fill="FFFFFF"/>
          <w:lang w:bidi="ar"/>
        </w:rPr>
        <w:t>）评标打分部分：评标打分部分仍按照</w:t>
      </w:r>
      <w:r>
        <w:rPr>
          <w:rFonts w:ascii="Times New Roman" w:hAnsi="Times New Roman"/>
          <w:color w:val="auto"/>
          <w:sz w:val="24"/>
          <w:szCs w:val="24"/>
          <w:highlight w:val="none"/>
          <w:shd w:val="clear" w:color="auto" w:fill="FFFFFF"/>
          <w:lang w:bidi="ar"/>
        </w:rPr>
        <w:t>100</w:t>
      </w:r>
      <w:r>
        <w:rPr>
          <w:rFonts w:hint="eastAsia" w:ascii="Times New Roman" w:hAnsi="Times New Roman"/>
          <w:color w:val="auto"/>
          <w:sz w:val="24"/>
          <w:szCs w:val="24"/>
          <w:highlight w:val="none"/>
          <w:shd w:val="clear" w:color="auto" w:fill="FFFFFF"/>
          <w:lang w:bidi="ar"/>
        </w:rPr>
        <w:t>分制原则进行，涉及到资格审查、企业荣誉、人员业绩、企业业绩等计分部分时，以投标单位自行上传到投标文件中的相应内容为准。</w:t>
      </w:r>
    </w:p>
    <w:p w14:paraId="7E554BB2">
      <w:pPr>
        <w:spacing w:line="480" w:lineRule="exact"/>
        <w:ind w:firstLine="480" w:firstLineChars="200"/>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w:t>
      </w:r>
      <w:r>
        <w:rPr>
          <w:rFonts w:ascii="Times New Roman" w:hAnsi="Times New Roman"/>
          <w:color w:val="auto"/>
          <w:sz w:val="24"/>
          <w:szCs w:val="24"/>
          <w:highlight w:val="none"/>
          <w:shd w:val="clear" w:color="auto" w:fill="FFFFFF"/>
          <w:lang w:bidi="ar"/>
        </w:rPr>
        <w:t>3</w:t>
      </w:r>
      <w:r>
        <w:rPr>
          <w:rFonts w:hint="eastAsia" w:ascii="Times New Roman" w:hAnsi="Times New Roman"/>
          <w:color w:val="auto"/>
          <w:sz w:val="24"/>
          <w:szCs w:val="24"/>
          <w:highlight w:val="none"/>
          <w:shd w:val="clear" w:color="auto" w:fill="FFFFFF"/>
          <w:lang w:bidi="ar"/>
        </w:rPr>
        <w:t>）投标文件编制部分：在投标文件中要求供应商按照投标文件格式进行投标文件编制，在投标文件编制时，应明确将投标单位企业基本情况、资质情况、人员情况、财务情况、业绩情况编入投标文件，便于进行资格审查及评标打分。</w:t>
      </w:r>
    </w:p>
    <w:p w14:paraId="7D0ED40A">
      <w:pPr>
        <w:spacing w:line="480" w:lineRule="exact"/>
        <w:ind w:firstLine="480" w:firstLineChars="200"/>
        <w:rPr>
          <w:rFonts w:ascii="Times New Roman" w:hAnsi="Times New Roman"/>
          <w:color w:val="auto"/>
          <w:sz w:val="24"/>
          <w:szCs w:val="24"/>
          <w:highlight w:val="none"/>
          <w:shd w:val="clear" w:color="auto" w:fill="FFFFFF"/>
          <w:lang w:bidi="ar"/>
        </w:rPr>
      </w:pPr>
      <w:r>
        <w:rPr>
          <w:rFonts w:ascii="Times New Roman" w:hAnsi="Times New Roman"/>
          <w:color w:val="auto"/>
          <w:sz w:val="24"/>
          <w:szCs w:val="24"/>
          <w:highlight w:val="none"/>
          <w:shd w:val="clear" w:color="auto" w:fill="FFFFFF"/>
          <w:lang w:bidi="ar"/>
        </w:rPr>
        <w:t>6.</w:t>
      </w:r>
      <w:r>
        <w:rPr>
          <w:rFonts w:hint="eastAsia" w:ascii="Times New Roman" w:hAnsi="Times New Roman"/>
          <w:color w:val="auto"/>
          <w:sz w:val="24"/>
          <w:szCs w:val="24"/>
          <w:highlight w:val="none"/>
          <w:shd w:val="clear" w:color="auto" w:fill="FFFFFF"/>
          <w:lang w:bidi="ar"/>
        </w:rPr>
        <w:t>投标所发生的一切费用由各供应商自行承担，并承担相应的风险和责任。</w:t>
      </w:r>
    </w:p>
    <w:p w14:paraId="12854781">
      <w:pPr>
        <w:spacing w:line="480" w:lineRule="exact"/>
        <w:ind w:firstLine="484" w:firstLineChars="201"/>
        <w:rPr>
          <w:rFonts w:ascii="Times New Roman" w:hAnsi="Times New Roman"/>
          <w:color w:val="auto"/>
          <w:sz w:val="24"/>
          <w:szCs w:val="24"/>
          <w:highlight w:val="none"/>
          <w:shd w:val="clear" w:color="auto" w:fill="FFFFFF"/>
          <w:lang w:bidi="ar"/>
        </w:rPr>
      </w:pPr>
      <w:r>
        <w:rPr>
          <w:rFonts w:hint="eastAsia" w:ascii="Times New Roman" w:hAnsi="Times New Roman"/>
          <w:b/>
          <w:bCs/>
          <w:color w:val="auto"/>
          <w:sz w:val="24"/>
          <w:szCs w:val="24"/>
          <w:highlight w:val="none"/>
          <w:shd w:val="clear" w:color="auto" w:fill="FFFFFF"/>
          <w:lang w:bidi="ar"/>
        </w:rPr>
        <w:t>八、凡对本次招标提出询问，请按照以下方式联系</w:t>
      </w:r>
    </w:p>
    <w:p w14:paraId="500FA19F">
      <w:pPr>
        <w:spacing w:line="480" w:lineRule="exact"/>
        <w:ind w:firstLine="480" w:firstLineChars="200"/>
        <w:rPr>
          <w:rFonts w:ascii="Times New Roman" w:hAnsi="Times New Roman"/>
          <w:color w:val="auto"/>
          <w:sz w:val="24"/>
          <w:szCs w:val="24"/>
          <w:highlight w:val="none"/>
          <w:shd w:val="clear" w:color="auto" w:fill="FFFFFF"/>
          <w:lang w:bidi="ar"/>
        </w:rPr>
      </w:pPr>
      <w:bookmarkStart w:id="9" w:name="_Toc108777067"/>
      <w:bookmarkStart w:id="10" w:name="_Toc108777255"/>
      <w:bookmarkStart w:id="11" w:name="_Toc108777130"/>
      <w:bookmarkStart w:id="12" w:name="_Toc176358316"/>
      <w:r>
        <w:rPr>
          <w:rFonts w:hint="eastAsia" w:ascii="Times New Roman" w:hAnsi="Times New Roman"/>
          <w:color w:val="auto"/>
          <w:sz w:val="24"/>
          <w:szCs w:val="24"/>
          <w:highlight w:val="none"/>
          <w:shd w:val="clear" w:color="auto" w:fill="FFFFFF"/>
          <w:lang w:bidi="ar"/>
        </w:rPr>
        <w:t>监督部门：灵宝市财政局政府采购监督管理科</w:t>
      </w:r>
    </w:p>
    <w:p w14:paraId="5DD55B68">
      <w:pPr>
        <w:spacing w:line="480" w:lineRule="exact"/>
        <w:ind w:firstLine="480" w:firstLineChars="200"/>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联系电话：</w:t>
      </w:r>
      <w:r>
        <w:rPr>
          <w:rFonts w:ascii="Times New Roman" w:hAnsi="Times New Roman"/>
          <w:color w:val="auto"/>
          <w:sz w:val="24"/>
          <w:szCs w:val="24"/>
          <w:highlight w:val="none"/>
          <w:shd w:val="clear" w:color="auto" w:fill="FFFFFF"/>
          <w:lang w:bidi="ar"/>
        </w:rPr>
        <w:t>0398-8852670</w:t>
      </w:r>
    </w:p>
    <w:p w14:paraId="376DCF7A">
      <w:pPr>
        <w:spacing w:line="480" w:lineRule="exact"/>
        <w:ind w:firstLine="480" w:firstLineChars="200"/>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监督单位：中共灵宝市气象局党组</w:t>
      </w:r>
    </w:p>
    <w:p w14:paraId="68523C03">
      <w:pPr>
        <w:spacing w:line="480" w:lineRule="exact"/>
        <w:ind w:firstLine="480" w:firstLineChars="200"/>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联系电话：0</w:t>
      </w:r>
      <w:r>
        <w:rPr>
          <w:rFonts w:ascii="Times New Roman" w:hAnsi="Times New Roman"/>
          <w:color w:val="auto"/>
          <w:sz w:val="24"/>
          <w:szCs w:val="24"/>
          <w:highlight w:val="none"/>
          <w:shd w:val="clear" w:color="auto" w:fill="FFFFFF"/>
          <w:lang w:bidi="ar"/>
        </w:rPr>
        <w:t>398-8831000</w:t>
      </w:r>
    </w:p>
    <w:p w14:paraId="149235BB">
      <w:pPr>
        <w:spacing w:line="480" w:lineRule="exact"/>
        <w:ind w:firstLine="480" w:firstLineChars="200"/>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采购人：灵宝市气象局</w:t>
      </w:r>
    </w:p>
    <w:p w14:paraId="697D0C90">
      <w:pPr>
        <w:spacing w:line="480" w:lineRule="exact"/>
        <w:ind w:firstLine="480" w:firstLineChars="200"/>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地址：灵宝市函谷路北段</w:t>
      </w:r>
    </w:p>
    <w:p w14:paraId="1CAF2EF0">
      <w:pPr>
        <w:spacing w:line="480" w:lineRule="exact"/>
        <w:ind w:firstLine="480" w:firstLineChars="200"/>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联系人：李先生</w:t>
      </w:r>
    </w:p>
    <w:p w14:paraId="5ED7903E">
      <w:pPr>
        <w:spacing w:line="480" w:lineRule="exact"/>
        <w:ind w:firstLine="480" w:firstLineChars="200"/>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联系方式：1</w:t>
      </w:r>
      <w:r>
        <w:rPr>
          <w:rFonts w:ascii="Times New Roman" w:hAnsi="Times New Roman"/>
          <w:color w:val="auto"/>
          <w:sz w:val="24"/>
          <w:szCs w:val="24"/>
          <w:highlight w:val="none"/>
          <w:shd w:val="clear" w:color="auto" w:fill="FFFFFF"/>
          <w:lang w:bidi="ar"/>
        </w:rPr>
        <w:t>8039931957</w:t>
      </w:r>
    </w:p>
    <w:p w14:paraId="078FB5D6">
      <w:pPr>
        <w:spacing w:line="480" w:lineRule="exact"/>
        <w:ind w:firstLine="480" w:firstLineChars="200"/>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代理机构：河南坤源工程咨询管理有限公司</w:t>
      </w:r>
    </w:p>
    <w:p w14:paraId="7396AA72">
      <w:pPr>
        <w:spacing w:line="480" w:lineRule="exact"/>
        <w:ind w:firstLine="480" w:firstLineChars="200"/>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公司地址：河南省三门峡市商会大厦</w:t>
      </w:r>
      <w:r>
        <w:rPr>
          <w:rFonts w:ascii="Times New Roman" w:hAnsi="Times New Roman"/>
          <w:color w:val="auto"/>
          <w:sz w:val="24"/>
          <w:szCs w:val="24"/>
          <w:highlight w:val="none"/>
          <w:shd w:val="clear" w:color="auto" w:fill="FFFFFF"/>
          <w:lang w:bidi="ar"/>
        </w:rPr>
        <w:t>B</w:t>
      </w:r>
      <w:r>
        <w:rPr>
          <w:rFonts w:hint="eastAsia" w:ascii="Times New Roman" w:hAnsi="Times New Roman"/>
          <w:color w:val="auto"/>
          <w:sz w:val="24"/>
          <w:szCs w:val="24"/>
          <w:highlight w:val="none"/>
          <w:shd w:val="clear" w:color="auto" w:fill="FFFFFF"/>
          <w:lang w:bidi="ar"/>
        </w:rPr>
        <w:t>座</w:t>
      </w:r>
      <w:r>
        <w:rPr>
          <w:rFonts w:ascii="Times New Roman" w:hAnsi="Times New Roman"/>
          <w:color w:val="auto"/>
          <w:sz w:val="24"/>
          <w:szCs w:val="24"/>
          <w:highlight w:val="none"/>
          <w:shd w:val="clear" w:color="auto" w:fill="FFFFFF"/>
          <w:lang w:bidi="ar"/>
        </w:rPr>
        <w:t>1103</w:t>
      </w:r>
      <w:r>
        <w:rPr>
          <w:rFonts w:hint="eastAsia" w:ascii="Times New Roman" w:hAnsi="Times New Roman"/>
          <w:color w:val="auto"/>
          <w:sz w:val="24"/>
          <w:szCs w:val="24"/>
          <w:highlight w:val="none"/>
          <w:shd w:val="clear" w:color="auto" w:fill="FFFFFF"/>
          <w:lang w:bidi="ar"/>
        </w:rPr>
        <w:t>室</w:t>
      </w:r>
    </w:p>
    <w:p w14:paraId="70A7AA18">
      <w:pPr>
        <w:spacing w:line="480" w:lineRule="exact"/>
        <w:ind w:firstLine="480" w:firstLineChars="200"/>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联</w:t>
      </w:r>
      <w:r>
        <w:rPr>
          <w:rFonts w:ascii="Times New Roman" w:hAnsi="Times New Roman"/>
          <w:color w:val="auto"/>
          <w:sz w:val="24"/>
          <w:szCs w:val="24"/>
          <w:highlight w:val="none"/>
          <w:shd w:val="clear" w:color="auto" w:fill="FFFFFF"/>
          <w:lang w:bidi="ar"/>
        </w:rPr>
        <w:t xml:space="preserve"> </w:t>
      </w:r>
      <w:r>
        <w:rPr>
          <w:rFonts w:hint="eastAsia" w:ascii="Times New Roman" w:hAnsi="Times New Roman"/>
          <w:color w:val="auto"/>
          <w:sz w:val="24"/>
          <w:szCs w:val="24"/>
          <w:highlight w:val="none"/>
          <w:shd w:val="clear" w:color="auto" w:fill="FFFFFF"/>
          <w:lang w:bidi="ar"/>
        </w:rPr>
        <w:t>系</w:t>
      </w:r>
      <w:r>
        <w:rPr>
          <w:rFonts w:ascii="Times New Roman" w:hAnsi="Times New Roman"/>
          <w:color w:val="auto"/>
          <w:sz w:val="24"/>
          <w:szCs w:val="24"/>
          <w:highlight w:val="none"/>
          <w:shd w:val="clear" w:color="auto" w:fill="FFFFFF"/>
          <w:lang w:bidi="ar"/>
        </w:rPr>
        <w:t xml:space="preserve"> </w:t>
      </w:r>
      <w:r>
        <w:rPr>
          <w:rFonts w:hint="eastAsia" w:ascii="Times New Roman" w:hAnsi="Times New Roman"/>
          <w:color w:val="auto"/>
          <w:sz w:val="24"/>
          <w:szCs w:val="24"/>
          <w:highlight w:val="none"/>
          <w:shd w:val="clear" w:color="auto" w:fill="FFFFFF"/>
          <w:lang w:bidi="ar"/>
        </w:rPr>
        <w:t>人：李先生</w:t>
      </w:r>
    </w:p>
    <w:p w14:paraId="2DD042F5">
      <w:pPr>
        <w:spacing w:line="480" w:lineRule="exact"/>
        <w:ind w:firstLine="480" w:firstLineChars="200"/>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联系电话：</w:t>
      </w:r>
      <w:r>
        <w:rPr>
          <w:rFonts w:ascii="Times New Roman" w:hAnsi="Times New Roman"/>
          <w:color w:val="auto"/>
          <w:sz w:val="24"/>
          <w:szCs w:val="24"/>
          <w:highlight w:val="none"/>
          <w:shd w:val="clear" w:color="auto" w:fill="FFFFFF"/>
          <w:lang w:bidi="ar"/>
        </w:rPr>
        <w:t>17639888444</w:t>
      </w:r>
    </w:p>
    <w:p w14:paraId="4C938E85">
      <w:pPr>
        <w:spacing w:line="360" w:lineRule="auto"/>
        <w:jc w:val="center"/>
        <w:outlineLvl w:val="0"/>
        <w:rPr>
          <w:rFonts w:ascii="Times New Roman" w:hAnsi="Times New Roman"/>
          <w:b/>
          <w:bCs/>
          <w:color w:val="auto"/>
          <w:sz w:val="30"/>
          <w:szCs w:val="32"/>
          <w:highlight w:val="none"/>
        </w:rPr>
      </w:pPr>
      <w:r>
        <w:rPr>
          <w:rFonts w:ascii="Times New Roman" w:hAnsi="Times New Roman"/>
          <w:b/>
          <w:bCs/>
          <w:color w:val="auto"/>
          <w:sz w:val="30"/>
          <w:szCs w:val="32"/>
          <w:highlight w:val="none"/>
          <w:shd w:val="clear" w:color="auto" w:fill="FFFFFF"/>
        </w:rPr>
        <w:br w:type="page"/>
      </w:r>
      <w:r>
        <w:rPr>
          <w:rFonts w:hint="eastAsia" w:ascii="Times New Roman" w:hAnsi="Times New Roman"/>
          <w:b/>
          <w:bCs/>
          <w:color w:val="auto"/>
          <w:sz w:val="30"/>
          <w:szCs w:val="32"/>
          <w:highlight w:val="none"/>
          <w:shd w:val="clear" w:color="auto" w:fill="FFFFFF"/>
        </w:rPr>
        <w:t>第二章</w:t>
      </w:r>
      <w:r>
        <w:rPr>
          <w:rFonts w:ascii="Times New Roman" w:hAnsi="Times New Roman"/>
          <w:b/>
          <w:bCs/>
          <w:color w:val="auto"/>
          <w:sz w:val="30"/>
          <w:szCs w:val="32"/>
          <w:highlight w:val="none"/>
          <w:shd w:val="clear" w:color="auto" w:fill="FFFFFF"/>
        </w:rPr>
        <w:t xml:space="preserve"> </w:t>
      </w:r>
      <w:r>
        <w:rPr>
          <w:rFonts w:hint="eastAsia" w:ascii="Times New Roman" w:hAnsi="Times New Roman"/>
          <w:b/>
          <w:bCs/>
          <w:color w:val="auto"/>
          <w:sz w:val="30"/>
          <w:szCs w:val="32"/>
          <w:highlight w:val="none"/>
          <w:shd w:val="clear" w:color="auto" w:fill="FFFFFF"/>
        </w:rPr>
        <w:t>供应商须知</w:t>
      </w:r>
      <w:bookmarkEnd w:id="9"/>
      <w:bookmarkEnd w:id="10"/>
      <w:bookmarkEnd w:id="11"/>
      <w:bookmarkEnd w:id="12"/>
    </w:p>
    <w:p w14:paraId="6594C7B3">
      <w:pPr>
        <w:spacing w:line="517" w:lineRule="exact"/>
        <w:jc w:val="center"/>
        <w:outlineLvl w:val="1"/>
        <w:rPr>
          <w:rFonts w:ascii="Times New Roman" w:hAnsi="Times New Roman" w:eastAsia="仿宋_GB2312"/>
          <w:b/>
          <w:bCs/>
          <w:color w:val="auto"/>
          <w:sz w:val="24"/>
          <w:szCs w:val="32"/>
          <w:highlight w:val="none"/>
          <w:shd w:val="clear" w:color="auto" w:fill="FFFFFF"/>
          <w:lang w:val="zh-CN" w:bidi="zh-CN"/>
        </w:rPr>
      </w:pPr>
      <w:bookmarkStart w:id="13" w:name="_Toc176358317"/>
      <w:r>
        <w:rPr>
          <w:rFonts w:hint="eastAsia" w:ascii="Times New Roman" w:hAnsi="Times New Roman" w:eastAsia="仿宋_GB2312"/>
          <w:b/>
          <w:bCs/>
          <w:color w:val="auto"/>
          <w:sz w:val="24"/>
          <w:szCs w:val="32"/>
          <w:highlight w:val="none"/>
          <w:shd w:val="clear" w:color="auto" w:fill="FFFFFF"/>
          <w:lang w:val="zh-CN" w:bidi="zh-CN"/>
        </w:rPr>
        <w:t>供应商须知前附表</w:t>
      </w:r>
      <w:bookmarkEnd w:id="13"/>
    </w:p>
    <w:tbl>
      <w:tblPr>
        <w:tblStyle w:val="12"/>
        <w:tblW w:w="86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2266"/>
        <w:gridCol w:w="5727"/>
      </w:tblGrid>
      <w:tr w14:paraId="20BF3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65" w:type="dxa"/>
            <w:vAlign w:val="center"/>
          </w:tcPr>
          <w:p w14:paraId="106963EE">
            <w:pPr>
              <w:spacing w:line="400" w:lineRule="exact"/>
              <w:jc w:val="center"/>
              <w:rPr>
                <w:rFonts w:ascii="Times New Roman" w:hAnsi="Times New Roman"/>
                <w:b/>
                <w:bCs/>
                <w:color w:val="auto"/>
                <w:sz w:val="24"/>
                <w:szCs w:val="24"/>
                <w:highlight w:val="none"/>
                <w:shd w:val="clear" w:color="auto" w:fill="FFFFFF"/>
                <w:lang w:bidi="ar"/>
              </w:rPr>
            </w:pPr>
            <w:r>
              <w:rPr>
                <w:rFonts w:hint="eastAsia" w:ascii="Times New Roman" w:hAnsi="Times New Roman"/>
                <w:b/>
                <w:bCs/>
                <w:color w:val="auto"/>
                <w:sz w:val="24"/>
                <w:szCs w:val="24"/>
                <w:highlight w:val="none"/>
                <w:shd w:val="clear" w:color="auto" w:fill="FFFFFF"/>
                <w:lang w:bidi="ar"/>
              </w:rPr>
              <w:t>序号</w:t>
            </w:r>
          </w:p>
        </w:tc>
        <w:tc>
          <w:tcPr>
            <w:tcW w:w="2266" w:type="dxa"/>
            <w:vAlign w:val="center"/>
          </w:tcPr>
          <w:p w14:paraId="11F3279C">
            <w:pPr>
              <w:spacing w:line="400" w:lineRule="exact"/>
              <w:jc w:val="center"/>
              <w:rPr>
                <w:rFonts w:ascii="Times New Roman" w:hAnsi="Times New Roman"/>
                <w:b/>
                <w:bCs/>
                <w:color w:val="auto"/>
                <w:sz w:val="24"/>
                <w:szCs w:val="24"/>
                <w:highlight w:val="none"/>
                <w:shd w:val="clear" w:color="auto" w:fill="FFFFFF"/>
                <w:lang w:bidi="ar"/>
              </w:rPr>
            </w:pPr>
            <w:r>
              <w:rPr>
                <w:rFonts w:hint="eastAsia" w:ascii="Times New Roman" w:hAnsi="Times New Roman"/>
                <w:b/>
                <w:bCs/>
                <w:color w:val="auto"/>
                <w:sz w:val="24"/>
                <w:szCs w:val="24"/>
                <w:highlight w:val="none"/>
                <w:shd w:val="clear" w:color="auto" w:fill="FFFFFF"/>
                <w:lang w:bidi="ar"/>
              </w:rPr>
              <w:t>名</w:t>
            </w:r>
            <w:r>
              <w:rPr>
                <w:rFonts w:ascii="Times New Roman" w:hAnsi="Times New Roman"/>
                <w:b/>
                <w:bCs/>
                <w:color w:val="auto"/>
                <w:sz w:val="24"/>
                <w:szCs w:val="24"/>
                <w:highlight w:val="none"/>
                <w:shd w:val="clear" w:color="auto" w:fill="FFFFFF"/>
                <w:lang w:bidi="ar"/>
              </w:rPr>
              <w:t xml:space="preserve"> </w:t>
            </w:r>
            <w:r>
              <w:rPr>
                <w:rFonts w:hint="eastAsia" w:ascii="Times New Roman" w:hAnsi="Times New Roman"/>
                <w:b/>
                <w:bCs/>
                <w:color w:val="auto"/>
                <w:sz w:val="24"/>
                <w:szCs w:val="24"/>
                <w:highlight w:val="none"/>
                <w:shd w:val="clear" w:color="auto" w:fill="FFFFFF"/>
                <w:lang w:bidi="ar"/>
              </w:rPr>
              <w:t>称</w:t>
            </w:r>
          </w:p>
        </w:tc>
        <w:tc>
          <w:tcPr>
            <w:tcW w:w="5727" w:type="dxa"/>
            <w:vAlign w:val="center"/>
          </w:tcPr>
          <w:p w14:paraId="7655BB43">
            <w:pPr>
              <w:spacing w:line="400" w:lineRule="exact"/>
              <w:jc w:val="center"/>
              <w:rPr>
                <w:rFonts w:ascii="Times New Roman" w:hAnsi="Times New Roman"/>
                <w:b/>
                <w:bCs/>
                <w:color w:val="auto"/>
                <w:sz w:val="24"/>
                <w:szCs w:val="24"/>
                <w:highlight w:val="none"/>
                <w:shd w:val="clear" w:color="auto" w:fill="FFFFFF"/>
                <w:lang w:bidi="ar"/>
              </w:rPr>
            </w:pPr>
            <w:r>
              <w:rPr>
                <w:rFonts w:hint="eastAsia" w:ascii="Times New Roman" w:hAnsi="Times New Roman"/>
                <w:b/>
                <w:bCs/>
                <w:color w:val="auto"/>
                <w:sz w:val="24"/>
                <w:szCs w:val="24"/>
                <w:highlight w:val="none"/>
                <w:shd w:val="clear" w:color="auto" w:fill="FFFFFF"/>
                <w:lang w:bidi="ar"/>
              </w:rPr>
              <w:t>内</w:t>
            </w:r>
            <w:r>
              <w:rPr>
                <w:rFonts w:ascii="Times New Roman" w:hAnsi="Times New Roman"/>
                <w:b/>
                <w:bCs/>
                <w:color w:val="auto"/>
                <w:sz w:val="24"/>
                <w:szCs w:val="24"/>
                <w:highlight w:val="none"/>
                <w:shd w:val="clear" w:color="auto" w:fill="FFFFFF"/>
                <w:lang w:bidi="ar"/>
              </w:rPr>
              <w:t xml:space="preserve"> </w:t>
            </w:r>
            <w:r>
              <w:rPr>
                <w:rFonts w:hint="eastAsia" w:ascii="Times New Roman" w:hAnsi="Times New Roman"/>
                <w:b/>
                <w:bCs/>
                <w:color w:val="auto"/>
                <w:sz w:val="24"/>
                <w:szCs w:val="24"/>
                <w:highlight w:val="none"/>
                <w:shd w:val="clear" w:color="auto" w:fill="FFFFFF"/>
                <w:lang w:bidi="ar"/>
              </w:rPr>
              <w:t>容</w:t>
            </w:r>
          </w:p>
        </w:tc>
      </w:tr>
      <w:tr w14:paraId="79BE6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665" w:type="dxa"/>
            <w:vAlign w:val="center"/>
          </w:tcPr>
          <w:p w14:paraId="1216678A">
            <w:pPr>
              <w:numPr>
                <w:ilvl w:val="0"/>
                <w:numId w:val="1"/>
              </w:numPr>
              <w:spacing w:line="400" w:lineRule="exact"/>
              <w:jc w:val="center"/>
              <w:rPr>
                <w:rFonts w:ascii="Times New Roman" w:hAnsi="Times New Roman"/>
                <w:color w:val="auto"/>
                <w:sz w:val="24"/>
                <w:szCs w:val="24"/>
                <w:highlight w:val="none"/>
                <w:shd w:val="clear" w:color="auto" w:fill="FFFFFF"/>
                <w:lang w:bidi="ar"/>
              </w:rPr>
            </w:pPr>
          </w:p>
        </w:tc>
        <w:tc>
          <w:tcPr>
            <w:tcW w:w="2266" w:type="dxa"/>
            <w:vAlign w:val="center"/>
          </w:tcPr>
          <w:p w14:paraId="77C59288">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采购人</w:t>
            </w:r>
          </w:p>
        </w:tc>
        <w:tc>
          <w:tcPr>
            <w:tcW w:w="5727" w:type="dxa"/>
          </w:tcPr>
          <w:p w14:paraId="05180D7E">
            <w:pPr>
              <w:spacing w:line="400" w:lineRule="exact"/>
              <w:rPr>
                <w:rFonts w:ascii="Times New Roman" w:hAnsi="Times New Roman"/>
                <w:color w:val="auto"/>
                <w:sz w:val="24"/>
                <w:szCs w:val="24"/>
                <w:highlight w:val="none"/>
              </w:rPr>
            </w:pPr>
            <w:r>
              <w:rPr>
                <w:rFonts w:hint="eastAsia" w:ascii="Times New Roman" w:hAnsi="Times New Roman"/>
                <w:color w:val="auto"/>
                <w:sz w:val="24"/>
                <w:szCs w:val="24"/>
                <w:highlight w:val="none"/>
              </w:rPr>
              <w:t>名称：灵宝市气象局</w:t>
            </w:r>
          </w:p>
          <w:p w14:paraId="23A7D6ED">
            <w:pPr>
              <w:spacing w:line="400" w:lineRule="exact"/>
              <w:rPr>
                <w:rFonts w:ascii="Times New Roman" w:hAnsi="Times New Roman"/>
                <w:color w:val="auto"/>
                <w:sz w:val="24"/>
                <w:szCs w:val="24"/>
                <w:highlight w:val="none"/>
              </w:rPr>
            </w:pPr>
            <w:r>
              <w:rPr>
                <w:rFonts w:hint="eastAsia" w:ascii="Times New Roman" w:hAnsi="Times New Roman"/>
                <w:color w:val="auto"/>
                <w:sz w:val="24"/>
                <w:szCs w:val="24"/>
                <w:highlight w:val="none"/>
              </w:rPr>
              <w:t>地址：灵宝市函谷路北段</w:t>
            </w:r>
          </w:p>
          <w:p w14:paraId="0B5F6ACD">
            <w:pPr>
              <w:spacing w:line="400" w:lineRule="exact"/>
              <w:rPr>
                <w:rFonts w:ascii="Times New Roman" w:hAnsi="Times New Roman"/>
                <w:color w:val="auto"/>
                <w:sz w:val="24"/>
                <w:szCs w:val="24"/>
                <w:highlight w:val="none"/>
              </w:rPr>
            </w:pPr>
            <w:r>
              <w:rPr>
                <w:rFonts w:hint="eastAsia" w:ascii="Times New Roman" w:hAnsi="Times New Roman"/>
                <w:color w:val="auto"/>
                <w:sz w:val="24"/>
                <w:szCs w:val="24"/>
                <w:highlight w:val="none"/>
              </w:rPr>
              <w:t>联系人：李先生</w:t>
            </w:r>
          </w:p>
          <w:p w14:paraId="32728A7C">
            <w:pPr>
              <w:spacing w:line="400" w:lineRule="exact"/>
              <w:rPr>
                <w:rFonts w:ascii="Times New Roman" w:hAnsi="Times New Roman"/>
                <w:color w:val="auto"/>
                <w:sz w:val="24"/>
                <w:szCs w:val="24"/>
                <w:highlight w:val="none"/>
              </w:rPr>
            </w:pPr>
            <w:r>
              <w:rPr>
                <w:rFonts w:hint="eastAsia" w:ascii="Times New Roman" w:hAnsi="Times New Roman"/>
                <w:color w:val="auto"/>
                <w:sz w:val="24"/>
                <w:szCs w:val="24"/>
                <w:highlight w:val="none"/>
              </w:rPr>
              <w:t>联系方式：</w:t>
            </w:r>
            <w:r>
              <w:rPr>
                <w:rFonts w:ascii="Times New Roman" w:hAnsi="Times New Roman"/>
                <w:color w:val="auto"/>
                <w:sz w:val="24"/>
                <w:szCs w:val="24"/>
                <w:highlight w:val="none"/>
              </w:rPr>
              <w:t>18039931957</w:t>
            </w:r>
          </w:p>
        </w:tc>
      </w:tr>
      <w:tr w14:paraId="469E1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trPr>
        <w:tc>
          <w:tcPr>
            <w:tcW w:w="665" w:type="dxa"/>
            <w:vAlign w:val="center"/>
          </w:tcPr>
          <w:p w14:paraId="5F813AD7">
            <w:pPr>
              <w:numPr>
                <w:ilvl w:val="0"/>
                <w:numId w:val="1"/>
              </w:numPr>
              <w:spacing w:line="400" w:lineRule="exact"/>
              <w:jc w:val="center"/>
              <w:rPr>
                <w:rFonts w:ascii="Times New Roman" w:hAnsi="Times New Roman"/>
                <w:color w:val="auto"/>
                <w:sz w:val="24"/>
                <w:szCs w:val="24"/>
                <w:highlight w:val="none"/>
                <w:shd w:val="clear" w:color="auto" w:fill="FFFFFF"/>
                <w:lang w:bidi="ar"/>
              </w:rPr>
            </w:pPr>
          </w:p>
        </w:tc>
        <w:tc>
          <w:tcPr>
            <w:tcW w:w="2266" w:type="dxa"/>
            <w:vAlign w:val="center"/>
          </w:tcPr>
          <w:p w14:paraId="0A080C34">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采购代理机构</w:t>
            </w:r>
          </w:p>
        </w:tc>
        <w:tc>
          <w:tcPr>
            <w:tcW w:w="5727" w:type="dxa"/>
          </w:tcPr>
          <w:p w14:paraId="6D9F9E97">
            <w:pPr>
              <w:spacing w:line="400" w:lineRule="exact"/>
              <w:rPr>
                <w:rFonts w:ascii="Times New Roman" w:hAnsi="Times New Roman"/>
                <w:color w:val="auto"/>
                <w:sz w:val="24"/>
                <w:szCs w:val="24"/>
                <w:highlight w:val="none"/>
              </w:rPr>
            </w:pPr>
            <w:r>
              <w:rPr>
                <w:rFonts w:hint="eastAsia" w:ascii="Times New Roman" w:hAnsi="Times New Roman"/>
                <w:color w:val="auto"/>
                <w:sz w:val="24"/>
                <w:szCs w:val="24"/>
                <w:highlight w:val="none"/>
              </w:rPr>
              <w:t>名称：河南坤源工程咨询管理有限公司</w:t>
            </w:r>
          </w:p>
          <w:p w14:paraId="2F3CF5E8">
            <w:pPr>
              <w:spacing w:line="400" w:lineRule="exact"/>
              <w:rPr>
                <w:rFonts w:ascii="Times New Roman" w:hAnsi="Times New Roman"/>
                <w:color w:val="auto"/>
                <w:sz w:val="24"/>
                <w:szCs w:val="24"/>
                <w:highlight w:val="none"/>
              </w:rPr>
            </w:pPr>
            <w:r>
              <w:rPr>
                <w:rFonts w:hint="eastAsia" w:ascii="Times New Roman" w:hAnsi="Times New Roman"/>
                <w:color w:val="auto"/>
                <w:sz w:val="24"/>
                <w:szCs w:val="24"/>
                <w:highlight w:val="none"/>
              </w:rPr>
              <w:t>地址：河南省三门峡市湖滨区五原路商会大厦</w:t>
            </w:r>
            <w:r>
              <w:rPr>
                <w:rFonts w:ascii="Times New Roman" w:hAnsi="Times New Roman"/>
                <w:color w:val="auto"/>
                <w:sz w:val="24"/>
                <w:szCs w:val="24"/>
                <w:highlight w:val="none"/>
              </w:rPr>
              <w:t>B</w:t>
            </w:r>
            <w:r>
              <w:rPr>
                <w:rFonts w:hint="eastAsia" w:ascii="Times New Roman" w:hAnsi="Times New Roman"/>
                <w:color w:val="auto"/>
                <w:sz w:val="24"/>
                <w:szCs w:val="24"/>
                <w:highlight w:val="none"/>
              </w:rPr>
              <w:t>座</w:t>
            </w:r>
            <w:r>
              <w:rPr>
                <w:rFonts w:ascii="Times New Roman" w:hAnsi="Times New Roman"/>
                <w:color w:val="auto"/>
                <w:sz w:val="24"/>
                <w:szCs w:val="24"/>
                <w:highlight w:val="none"/>
              </w:rPr>
              <w:t>1103</w:t>
            </w:r>
            <w:r>
              <w:rPr>
                <w:rFonts w:hint="eastAsia" w:ascii="Times New Roman" w:hAnsi="Times New Roman"/>
                <w:color w:val="auto"/>
                <w:sz w:val="24"/>
                <w:szCs w:val="24"/>
                <w:highlight w:val="none"/>
              </w:rPr>
              <w:t>室</w:t>
            </w:r>
          </w:p>
          <w:p w14:paraId="5F90611E">
            <w:pPr>
              <w:spacing w:line="400" w:lineRule="exact"/>
              <w:rPr>
                <w:rFonts w:ascii="Times New Roman" w:hAnsi="Times New Roman"/>
                <w:color w:val="auto"/>
                <w:sz w:val="24"/>
                <w:szCs w:val="24"/>
                <w:highlight w:val="none"/>
              </w:rPr>
            </w:pPr>
            <w:r>
              <w:rPr>
                <w:rFonts w:hint="eastAsia" w:ascii="Times New Roman" w:hAnsi="Times New Roman"/>
                <w:color w:val="auto"/>
                <w:sz w:val="24"/>
                <w:szCs w:val="24"/>
                <w:highlight w:val="none"/>
              </w:rPr>
              <w:t>联系人：李先生</w:t>
            </w:r>
          </w:p>
          <w:p w14:paraId="2116A2C4">
            <w:pPr>
              <w:spacing w:line="400" w:lineRule="exact"/>
              <w:rPr>
                <w:rFonts w:ascii="Times New Roman" w:hAnsi="Times New Roman"/>
                <w:color w:val="auto"/>
                <w:sz w:val="24"/>
                <w:szCs w:val="24"/>
                <w:highlight w:val="none"/>
              </w:rPr>
            </w:pPr>
            <w:r>
              <w:rPr>
                <w:rFonts w:hint="eastAsia" w:ascii="Times New Roman" w:hAnsi="Times New Roman"/>
                <w:color w:val="auto"/>
                <w:sz w:val="24"/>
                <w:szCs w:val="24"/>
                <w:highlight w:val="none"/>
              </w:rPr>
              <w:t>联系方式：</w:t>
            </w:r>
            <w:r>
              <w:rPr>
                <w:rFonts w:ascii="Times New Roman" w:hAnsi="Times New Roman"/>
                <w:color w:val="auto"/>
                <w:sz w:val="24"/>
                <w:szCs w:val="24"/>
                <w:highlight w:val="none"/>
              </w:rPr>
              <w:t>17639888444</w:t>
            </w:r>
          </w:p>
        </w:tc>
      </w:tr>
      <w:tr w14:paraId="12BBC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65" w:type="dxa"/>
            <w:vAlign w:val="center"/>
          </w:tcPr>
          <w:p w14:paraId="62A301F9">
            <w:pPr>
              <w:numPr>
                <w:ilvl w:val="0"/>
                <w:numId w:val="1"/>
              </w:numPr>
              <w:spacing w:line="400" w:lineRule="exact"/>
              <w:jc w:val="center"/>
              <w:rPr>
                <w:rFonts w:ascii="Times New Roman" w:hAnsi="Times New Roman"/>
                <w:color w:val="auto"/>
                <w:sz w:val="24"/>
                <w:szCs w:val="24"/>
                <w:highlight w:val="none"/>
                <w:shd w:val="clear" w:color="auto" w:fill="FFFFFF"/>
                <w:lang w:bidi="ar"/>
              </w:rPr>
            </w:pPr>
          </w:p>
        </w:tc>
        <w:tc>
          <w:tcPr>
            <w:tcW w:w="2266" w:type="dxa"/>
            <w:vAlign w:val="center"/>
          </w:tcPr>
          <w:p w14:paraId="4DA1F24E">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项目名称</w:t>
            </w:r>
          </w:p>
        </w:tc>
        <w:tc>
          <w:tcPr>
            <w:tcW w:w="5727" w:type="dxa"/>
          </w:tcPr>
          <w:p w14:paraId="48B0D94F">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灵宝市气象局灵宝市气象业务能力提升工程</w:t>
            </w:r>
            <w:r>
              <w:rPr>
                <w:rFonts w:ascii="Times New Roman" w:hAnsi="Times New Roman"/>
                <w:color w:val="auto"/>
                <w:sz w:val="24"/>
                <w:szCs w:val="24"/>
                <w:highlight w:val="none"/>
                <w:shd w:val="clear" w:color="auto" w:fill="FFFFFF"/>
                <w:lang w:bidi="ar"/>
              </w:rPr>
              <w:t>X</w:t>
            </w:r>
            <w:r>
              <w:rPr>
                <w:rFonts w:hint="eastAsia" w:ascii="Times New Roman" w:hAnsi="Times New Roman"/>
                <w:color w:val="auto"/>
                <w:sz w:val="24"/>
                <w:szCs w:val="24"/>
                <w:highlight w:val="none"/>
                <w:shd w:val="clear" w:color="auto" w:fill="FFFFFF"/>
                <w:lang w:bidi="ar"/>
              </w:rPr>
              <w:t>波段相控阵天气雷达采购项目</w:t>
            </w:r>
          </w:p>
        </w:tc>
      </w:tr>
      <w:tr w14:paraId="28BAA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665" w:type="dxa"/>
            <w:vAlign w:val="center"/>
          </w:tcPr>
          <w:p w14:paraId="6C04BA59">
            <w:pPr>
              <w:numPr>
                <w:ilvl w:val="0"/>
                <w:numId w:val="1"/>
              </w:numPr>
              <w:spacing w:line="400" w:lineRule="exact"/>
              <w:jc w:val="center"/>
              <w:rPr>
                <w:rFonts w:ascii="Times New Roman" w:hAnsi="Times New Roman"/>
                <w:color w:val="auto"/>
                <w:sz w:val="24"/>
                <w:szCs w:val="24"/>
                <w:highlight w:val="none"/>
                <w:shd w:val="clear" w:color="auto" w:fill="FFFFFF"/>
                <w:lang w:bidi="ar"/>
              </w:rPr>
            </w:pPr>
          </w:p>
        </w:tc>
        <w:tc>
          <w:tcPr>
            <w:tcW w:w="2266" w:type="dxa"/>
            <w:vAlign w:val="center"/>
          </w:tcPr>
          <w:p w14:paraId="284C4DFB">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交货地点</w:t>
            </w:r>
          </w:p>
        </w:tc>
        <w:tc>
          <w:tcPr>
            <w:tcW w:w="5727" w:type="dxa"/>
          </w:tcPr>
          <w:p w14:paraId="613308EF">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采购人指定地点。</w:t>
            </w:r>
          </w:p>
        </w:tc>
      </w:tr>
      <w:tr w14:paraId="6E8B3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665" w:type="dxa"/>
            <w:vAlign w:val="center"/>
          </w:tcPr>
          <w:p w14:paraId="3E56E05D">
            <w:pPr>
              <w:numPr>
                <w:ilvl w:val="0"/>
                <w:numId w:val="1"/>
              </w:numPr>
              <w:spacing w:line="400" w:lineRule="exact"/>
              <w:jc w:val="center"/>
              <w:rPr>
                <w:rFonts w:ascii="Times New Roman" w:hAnsi="Times New Roman"/>
                <w:color w:val="auto"/>
                <w:sz w:val="24"/>
                <w:szCs w:val="24"/>
                <w:highlight w:val="none"/>
                <w:shd w:val="clear" w:color="auto" w:fill="FFFFFF"/>
                <w:lang w:bidi="ar"/>
              </w:rPr>
            </w:pPr>
          </w:p>
        </w:tc>
        <w:tc>
          <w:tcPr>
            <w:tcW w:w="2266" w:type="dxa"/>
            <w:vAlign w:val="center"/>
          </w:tcPr>
          <w:p w14:paraId="687DC626">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预算金额</w:t>
            </w:r>
          </w:p>
        </w:tc>
        <w:tc>
          <w:tcPr>
            <w:tcW w:w="5727" w:type="dxa"/>
          </w:tcPr>
          <w:p w14:paraId="6AEE1DDC">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详见“招标公告”。</w:t>
            </w:r>
          </w:p>
        </w:tc>
      </w:tr>
      <w:tr w14:paraId="09279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665" w:type="dxa"/>
            <w:vAlign w:val="center"/>
          </w:tcPr>
          <w:p w14:paraId="20BA9463">
            <w:pPr>
              <w:numPr>
                <w:ilvl w:val="0"/>
                <w:numId w:val="1"/>
              </w:numPr>
              <w:spacing w:line="400" w:lineRule="exact"/>
              <w:jc w:val="center"/>
              <w:rPr>
                <w:rFonts w:ascii="Times New Roman" w:hAnsi="Times New Roman"/>
                <w:color w:val="auto"/>
                <w:sz w:val="24"/>
                <w:szCs w:val="24"/>
                <w:highlight w:val="none"/>
                <w:shd w:val="clear" w:color="auto" w:fill="FFFFFF"/>
                <w:lang w:bidi="ar"/>
              </w:rPr>
            </w:pPr>
          </w:p>
        </w:tc>
        <w:tc>
          <w:tcPr>
            <w:tcW w:w="2266" w:type="dxa"/>
            <w:vAlign w:val="center"/>
          </w:tcPr>
          <w:p w14:paraId="3FF72F28">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资金来源及落实情况</w:t>
            </w:r>
          </w:p>
        </w:tc>
        <w:tc>
          <w:tcPr>
            <w:tcW w:w="5727" w:type="dxa"/>
            <w:vAlign w:val="center"/>
          </w:tcPr>
          <w:p w14:paraId="2942B19A">
            <w:pPr>
              <w:spacing w:line="400" w:lineRule="exac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财政资金，已落实。</w:t>
            </w:r>
          </w:p>
        </w:tc>
      </w:tr>
      <w:tr w14:paraId="06852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665" w:type="dxa"/>
            <w:vAlign w:val="center"/>
          </w:tcPr>
          <w:p w14:paraId="5421FE98">
            <w:pPr>
              <w:numPr>
                <w:ilvl w:val="0"/>
                <w:numId w:val="1"/>
              </w:numPr>
              <w:spacing w:line="400" w:lineRule="exact"/>
              <w:jc w:val="center"/>
              <w:rPr>
                <w:rFonts w:ascii="Times New Roman" w:hAnsi="Times New Roman"/>
                <w:color w:val="auto"/>
                <w:sz w:val="24"/>
                <w:szCs w:val="24"/>
                <w:highlight w:val="none"/>
                <w:shd w:val="clear" w:color="auto" w:fill="FFFFFF"/>
                <w:lang w:bidi="ar"/>
              </w:rPr>
            </w:pPr>
          </w:p>
        </w:tc>
        <w:tc>
          <w:tcPr>
            <w:tcW w:w="2266" w:type="dxa"/>
            <w:vAlign w:val="center"/>
          </w:tcPr>
          <w:p w14:paraId="7C18C3B8">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rPr>
              <w:t>出资比例</w:t>
            </w:r>
          </w:p>
        </w:tc>
        <w:tc>
          <w:tcPr>
            <w:tcW w:w="5727" w:type="dxa"/>
          </w:tcPr>
          <w:p w14:paraId="37C6B313">
            <w:pPr>
              <w:spacing w:line="400" w:lineRule="exact"/>
              <w:jc w:val="left"/>
              <w:rPr>
                <w:rFonts w:ascii="Times New Roman" w:hAnsi="Times New Roman"/>
                <w:color w:val="auto"/>
                <w:sz w:val="24"/>
                <w:szCs w:val="24"/>
                <w:highlight w:val="none"/>
                <w:shd w:val="clear" w:color="auto" w:fill="FFFFFF"/>
                <w:lang w:bidi="ar"/>
              </w:rPr>
            </w:pPr>
            <w:r>
              <w:rPr>
                <w:rFonts w:ascii="Times New Roman" w:hAnsi="Times New Roman"/>
                <w:color w:val="auto"/>
                <w:sz w:val="24"/>
                <w:szCs w:val="24"/>
                <w:highlight w:val="none"/>
                <w:shd w:val="clear" w:color="auto" w:fill="FFFFFF"/>
                <w:lang w:bidi="ar"/>
              </w:rPr>
              <w:t>100%</w:t>
            </w:r>
          </w:p>
        </w:tc>
      </w:tr>
      <w:tr w14:paraId="6C936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665" w:type="dxa"/>
            <w:vAlign w:val="center"/>
          </w:tcPr>
          <w:p w14:paraId="3C62187D">
            <w:pPr>
              <w:numPr>
                <w:ilvl w:val="0"/>
                <w:numId w:val="1"/>
              </w:numPr>
              <w:spacing w:line="400" w:lineRule="exact"/>
              <w:jc w:val="center"/>
              <w:rPr>
                <w:rFonts w:ascii="Times New Roman" w:hAnsi="Times New Roman"/>
                <w:color w:val="auto"/>
                <w:sz w:val="24"/>
                <w:szCs w:val="24"/>
                <w:highlight w:val="none"/>
                <w:shd w:val="clear" w:color="auto" w:fill="FFFFFF"/>
                <w:lang w:bidi="ar"/>
              </w:rPr>
            </w:pPr>
          </w:p>
        </w:tc>
        <w:tc>
          <w:tcPr>
            <w:tcW w:w="2266" w:type="dxa"/>
            <w:vAlign w:val="center"/>
          </w:tcPr>
          <w:p w14:paraId="44C5271A">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标段划分</w:t>
            </w:r>
          </w:p>
        </w:tc>
        <w:tc>
          <w:tcPr>
            <w:tcW w:w="5727" w:type="dxa"/>
          </w:tcPr>
          <w:p w14:paraId="1B032072">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本项目划分</w:t>
            </w:r>
            <w:r>
              <w:rPr>
                <w:rFonts w:ascii="Times New Roman" w:hAnsi="Times New Roman"/>
                <w:color w:val="auto"/>
                <w:sz w:val="24"/>
                <w:szCs w:val="24"/>
                <w:highlight w:val="none"/>
                <w:shd w:val="clear" w:color="auto" w:fill="FFFFFF"/>
                <w:lang w:bidi="ar"/>
              </w:rPr>
              <w:t>1</w:t>
            </w:r>
            <w:r>
              <w:rPr>
                <w:rFonts w:hint="eastAsia" w:ascii="Times New Roman" w:hAnsi="Times New Roman"/>
                <w:color w:val="auto"/>
                <w:sz w:val="24"/>
                <w:szCs w:val="24"/>
                <w:highlight w:val="none"/>
                <w:shd w:val="clear" w:color="auto" w:fill="FFFFFF"/>
                <w:lang w:bidi="ar"/>
              </w:rPr>
              <w:t>个标段。</w:t>
            </w:r>
          </w:p>
        </w:tc>
      </w:tr>
      <w:tr w14:paraId="367E8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665" w:type="dxa"/>
            <w:vAlign w:val="center"/>
          </w:tcPr>
          <w:p w14:paraId="1AB5DD56">
            <w:pPr>
              <w:numPr>
                <w:ilvl w:val="0"/>
                <w:numId w:val="1"/>
              </w:numPr>
              <w:spacing w:line="400" w:lineRule="exact"/>
              <w:jc w:val="center"/>
              <w:rPr>
                <w:rFonts w:ascii="Times New Roman" w:hAnsi="Times New Roman"/>
                <w:color w:val="auto"/>
                <w:sz w:val="24"/>
                <w:szCs w:val="24"/>
                <w:highlight w:val="none"/>
                <w:shd w:val="clear" w:color="auto" w:fill="FFFFFF"/>
                <w:lang w:bidi="ar"/>
              </w:rPr>
            </w:pPr>
          </w:p>
        </w:tc>
        <w:tc>
          <w:tcPr>
            <w:tcW w:w="2266" w:type="dxa"/>
            <w:vAlign w:val="center"/>
          </w:tcPr>
          <w:p w14:paraId="08CE1FA4">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采购范围</w:t>
            </w:r>
          </w:p>
        </w:tc>
        <w:tc>
          <w:tcPr>
            <w:tcW w:w="5727" w:type="dxa"/>
          </w:tcPr>
          <w:p w14:paraId="60A5FC99">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详见“招标公告”要求。</w:t>
            </w:r>
          </w:p>
        </w:tc>
      </w:tr>
      <w:tr w14:paraId="13BD8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65" w:type="dxa"/>
            <w:vAlign w:val="center"/>
          </w:tcPr>
          <w:p w14:paraId="002BD4BF">
            <w:pPr>
              <w:numPr>
                <w:ilvl w:val="0"/>
                <w:numId w:val="1"/>
              </w:numPr>
              <w:spacing w:line="400" w:lineRule="exact"/>
              <w:jc w:val="center"/>
              <w:rPr>
                <w:rFonts w:ascii="Times New Roman" w:hAnsi="Times New Roman"/>
                <w:color w:val="auto"/>
                <w:sz w:val="24"/>
                <w:szCs w:val="24"/>
                <w:highlight w:val="none"/>
                <w:shd w:val="clear" w:color="auto" w:fill="FFFFFF"/>
                <w:lang w:bidi="ar"/>
              </w:rPr>
            </w:pPr>
          </w:p>
        </w:tc>
        <w:tc>
          <w:tcPr>
            <w:tcW w:w="2266" w:type="dxa"/>
            <w:vAlign w:val="center"/>
          </w:tcPr>
          <w:p w14:paraId="5DDF33CF">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合同履行期限（交货期）</w:t>
            </w:r>
          </w:p>
        </w:tc>
        <w:tc>
          <w:tcPr>
            <w:tcW w:w="5727" w:type="dxa"/>
            <w:vAlign w:val="center"/>
          </w:tcPr>
          <w:p w14:paraId="67A6BCE6">
            <w:pPr>
              <w:spacing w:line="400" w:lineRule="exac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合同签订之日起1年。</w:t>
            </w:r>
          </w:p>
        </w:tc>
      </w:tr>
      <w:tr w14:paraId="02F14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665" w:type="dxa"/>
            <w:vAlign w:val="center"/>
          </w:tcPr>
          <w:p w14:paraId="43C6BC95">
            <w:pPr>
              <w:numPr>
                <w:ilvl w:val="0"/>
                <w:numId w:val="1"/>
              </w:numPr>
              <w:spacing w:line="400" w:lineRule="exact"/>
              <w:jc w:val="center"/>
              <w:rPr>
                <w:rFonts w:ascii="Times New Roman" w:hAnsi="Times New Roman"/>
                <w:color w:val="auto"/>
                <w:sz w:val="24"/>
                <w:szCs w:val="24"/>
                <w:highlight w:val="none"/>
                <w:shd w:val="clear" w:color="auto" w:fill="FFFFFF"/>
                <w:lang w:bidi="ar"/>
              </w:rPr>
            </w:pPr>
          </w:p>
        </w:tc>
        <w:tc>
          <w:tcPr>
            <w:tcW w:w="2266" w:type="dxa"/>
            <w:vAlign w:val="center"/>
          </w:tcPr>
          <w:p w14:paraId="5E627EAB">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质量要求</w:t>
            </w:r>
          </w:p>
        </w:tc>
        <w:tc>
          <w:tcPr>
            <w:tcW w:w="5727" w:type="dxa"/>
          </w:tcPr>
          <w:p w14:paraId="6D9B572F">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符合国家规定，达到正常使用条件，满足采购人需求。</w:t>
            </w:r>
          </w:p>
        </w:tc>
      </w:tr>
      <w:tr w14:paraId="0FFC4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665" w:type="dxa"/>
            <w:vAlign w:val="center"/>
          </w:tcPr>
          <w:p w14:paraId="24A4C0A8">
            <w:pPr>
              <w:numPr>
                <w:ilvl w:val="0"/>
                <w:numId w:val="1"/>
              </w:numPr>
              <w:spacing w:line="400" w:lineRule="exact"/>
              <w:jc w:val="center"/>
              <w:rPr>
                <w:rFonts w:ascii="Times New Roman" w:hAnsi="Times New Roman"/>
                <w:color w:val="auto"/>
                <w:sz w:val="24"/>
                <w:szCs w:val="24"/>
                <w:highlight w:val="none"/>
                <w:shd w:val="clear" w:color="auto" w:fill="FFFFFF"/>
                <w:lang w:bidi="ar"/>
              </w:rPr>
            </w:pPr>
          </w:p>
        </w:tc>
        <w:tc>
          <w:tcPr>
            <w:tcW w:w="2266" w:type="dxa"/>
            <w:vAlign w:val="center"/>
          </w:tcPr>
          <w:p w14:paraId="3502592C">
            <w:pPr>
              <w:spacing w:line="400" w:lineRule="exact"/>
              <w:jc w:val="left"/>
              <w:rPr>
                <w:rFonts w:hint="eastAsia" w:ascii="Times New Roman" w:hAnsi="Times New Roman" w:eastAsia="宋体"/>
                <w:color w:val="auto"/>
                <w:sz w:val="24"/>
                <w:szCs w:val="24"/>
                <w:highlight w:val="none"/>
                <w:shd w:val="clear" w:color="auto" w:fill="FFFFFF"/>
                <w:lang w:eastAsia="zh-CN" w:bidi="ar"/>
              </w:rPr>
            </w:pPr>
            <w:r>
              <w:rPr>
                <w:rFonts w:hint="eastAsia" w:ascii="Times New Roman" w:hAnsi="Times New Roman"/>
                <w:color w:val="auto"/>
                <w:sz w:val="24"/>
                <w:szCs w:val="24"/>
                <w:highlight w:val="none"/>
                <w:shd w:val="clear" w:color="auto" w:fill="FFFFFF"/>
                <w:lang w:eastAsia="zh-CN" w:bidi="ar"/>
              </w:rPr>
              <w:t>质保期</w:t>
            </w:r>
          </w:p>
        </w:tc>
        <w:tc>
          <w:tcPr>
            <w:tcW w:w="5727" w:type="dxa"/>
          </w:tcPr>
          <w:p w14:paraId="0E1186F2">
            <w:pPr>
              <w:snapToGrid w:val="0"/>
              <w:spacing w:line="500" w:lineRule="exact"/>
              <w:rPr>
                <w:rFonts w:ascii="Times New Roman" w:hAnsi="Times New Roman"/>
                <w:b/>
                <w:bCs/>
                <w:color w:val="auto"/>
                <w:kern w:val="0"/>
                <w:sz w:val="24"/>
                <w:szCs w:val="24"/>
                <w:highlight w:val="none"/>
              </w:rPr>
            </w:pPr>
            <w:r>
              <w:rPr>
                <w:rFonts w:hint="eastAsia" w:ascii="Times New Roman" w:hAnsi="Times New Roman"/>
                <w:b/>
                <w:bCs/>
                <w:color w:val="auto"/>
                <w:sz w:val="24"/>
                <w:szCs w:val="24"/>
                <w:highlight w:val="none"/>
              </w:rPr>
              <w:t>服务期限：</w:t>
            </w:r>
            <w:r>
              <w:rPr>
                <w:rFonts w:hint="eastAsia" w:ascii="Times New Roman" w:hAnsi="Times New Roman"/>
                <w:color w:val="auto"/>
                <w:sz w:val="24"/>
                <w:highlight w:val="none"/>
                <w:lang w:eastAsia="zh-CN"/>
              </w:rPr>
              <w:t>合同签订之日起1年</w:t>
            </w:r>
            <w:r>
              <w:rPr>
                <w:rFonts w:hint="eastAsia" w:ascii="Times New Roman" w:hAnsi="Times New Roman"/>
                <w:color w:val="auto"/>
                <w:sz w:val="24"/>
                <w:highlight w:val="none"/>
              </w:rPr>
              <w:t>。</w:t>
            </w:r>
          </w:p>
          <w:p w14:paraId="420A399F">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b/>
                <w:bCs/>
                <w:color w:val="auto"/>
                <w:kern w:val="0"/>
                <w:sz w:val="24"/>
                <w:szCs w:val="24"/>
                <w:highlight w:val="none"/>
              </w:rPr>
              <w:t>质保期：</w:t>
            </w:r>
            <w:r>
              <w:rPr>
                <w:rFonts w:hint="eastAsia" w:ascii="Times New Roman" w:hAnsi="Times New Roman"/>
                <w:color w:val="auto"/>
                <w:sz w:val="24"/>
                <w:szCs w:val="24"/>
                <w:highlight w:val="none"/>
              </w:rPr>
              <w:t>自本项目系统验收合格之日起，雷达设备提供</w:t>
            </w:r>
            <w:r>
              <w:rPr>
                <w:rFonts w:ascii="Times New Roman" w:hAnsi="Times New Roman"/>
                <w:color w:val="auto"/>
                <w:sz w:val="24"/>
                <w:szCs w:val="24"/>
                <w:highlight w:val="none"/>
              </w:rPr>
              <w:t>8</w:t>
            </w:r>
            <w:r>
              <w:rPr>
                <w:rFonts w:hint="eastAsia" w:ascii="Times New Roman" w:hAnsi="Times New Roman"/>
                <w:color w:val="auto"/>
                <w:sz w:val="24"/>
                <w:szCs w:val="24"/>
                <w:highlight w:val="none"/>
              </w:rPr>
              <w:t>年原厂质保，其他设备提供</w:t>
            </w:r>
            <w:r>
              <w:rPr>
                <w:rFonts w:ascii="Times New Roman" w:hAnsi="Times New Roman"/>
                <w:color w:val="auto"/>
                <w:sz w:val="24"/>
                <w:szCs w:val="24"/>
                <w:highlight w:val="none"/>
              </w:rPr>
              <w:t>3</w:t>
            </w:r>
            <w:r>
              <w:rPr>
                <w:rFonts w:hint="eastAsia" w:ascii="Times New Roman" w:hAnsi="Times New Roman"/>
                <w:color w:val="auto"/>
                <w:sz w:val="24"/>
                <w:szCs w:val="24"/>
                <w:highlight w:val="none"/>
              </w:rPr>
              <w:t>年质保，相关产品有国家规定的质保期从其规定，其规定不足</w:t>
            </w:r>
            <w:r>
              <w:rPr>
                <w:rFonts w:ascii="Times New Roman" w:hAnsi="Times New Roman"/>
                <w:color w:val="auto"/>
                <w:sz w:val="24"/>
                <w:szCs w:val="24"/>
                <w:highlight w:val="none"/>
              </w:rPr>
              <w:t>3</w:t>
            </w:r>
            <w:r>
              <w:rPr>
                <w:rFonts w:hint="eastAsia" w:ascii="Times New Roman" w:hAnsi="Times New Roman"/>
                <w:color w:val="auto"/>
                <w:sz w:val="24"/>
                <w:szCs w:val="24"/>
                <w:highlight w:val="none"/>
              </w:rPr>
              <w:t>年的按</w:t>
            </w:r>
            <w:r>
              <w:rPr>
                <w:rFonts w:ascii="Times New Roman" w:hAnsi="Times New Roman"/>
                <w:color w:val="auto"/>
                <w:sz w:val="24"/>
                <w:szCs w:val="24"/>
                <w:highlight w:val="none"/>
              </w:rPr>
              <w:t>3</w:t>
            </w:r>
            <w:r>
              <w:rPr>
                <w:rFonts w:hint="eastAsia" w:ascii="Times New Roman" w:hAnsi="Times New Roman"/>
                <w:color w:val="auto"/>
                <w:sz w:val="24"/>
                <w:szCs w:val="24"/>
                <w:highlight w:val="none"/>
              </w:rPr>
              <w:t>年计算。</w:t>
            </w:r>
          </w:p>
        </w:tc>
      </w:tr>
      <w:tr w14:paraId="63F98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665" w:type="dxa"/>
            <w:vAlign w:val="center"/>
          </w:tcPr>
          <w:p w14:paraId="389EC970">
            <w:pPr>
              <w:numPr>
                <w:ilvl w:val="0"/>
                <w:numId w:val="1"/>
              </w:numPr>
              <w:spacing w:line="400" w:lineRule="exact"/>
              <w:jc w:val="center"/>
              <w:rPr>
                <w:rFonts w:ascii="Times New Roman" w:hAnsi="Times New Roman"/>
                <w:color w:val="auto"/>
                <w:sz w:val="24"/>
                <w:szCs w:val="24"/>
                <w:highlight w:val="none"/>
                <w:shd w:val="clear" w:color="auto" w:fill="FFFFFF"/>
                <w:lang w:bidi="ar"/>
              </w:rPr>
            </w:pPr>
          </w:p>
        </w:tc>
        <w:tc>
          <w:tcPr>
            <w:tcW w:w="2266" w:type="dxa"/>
            <w:vAlign w:val="center"/>
          </w:tcPr>
          <w:p w14:paraId="63C082D7">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供应商的资质、能力和应具备条件</w:t>
            </w:r>
          </w:p>
        </w:tc>
        <w:tc>
          <w:tcPr>
            <w:tcW w:w="5727" w:type="dxa"/>
            <w:vAlign w:val="center"/>
          </w:tcPr>
          <w:p w14:paraId="685FD96B">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详见“招标公告”要求。</w:t>
            </w:r>
          </w:p>
        </w:tc>
      </w:tr>
      <w:tr w14:paraId="62407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665" w:type="dxa"/>
            <w:vAlign w:val="center"/>
          </w:tcPr>
          <w:p w14:paraId="42A1AEB7">
            <w:pPr>
              <w:numPr>
                <w:ilvl w:val="0"/>
                <w:numId w:val="1"/>
              </w:numPr>
              <w:spacing w:line="400" w:lineRule="exact"/>
              <w:jc w:val="center"/>
              <w:rPr>
                <w:rFonts w:ascii="Times New Roman" w:hAnsi="Times New Roman"/>
                <w:color w:val="auto"/>
                <w:sz w:val="24"/>
                <w:szCs w:val="24"/>
                <w:highlight w:val="none"/>
                <w:shd w:val="clear" w:color="auto" w:fill="FFFFFF"/>
                <w:lang w:bidi="ar"/>
              </w:rPr>
            </w:pPr>
          </w:p>
        </w:tc>
        <w:tc>
          <w:tcPr>
            <w:tcW w:w="2266" w:type="dxa"/>
            <w:vAlign w:val="center"/>
          </w:tcPr>
          <w:p w14:paraId="37546F3A">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投标预备会</w:t>
            </w:r>
          </w:p>
        </w:tc>
        <w:tc>
          <w:tcPr>
            <w:tcW w:w="5727" w:type="dxa"/>
          </w:tcPr>
          <w:p w14:paraId="04409B7C">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■不召开。</w:t>
            </w:r>
          </w:p>
        </w:tc>
      </w:tr>
      <w:tr w14:paraId="62FC6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665" w:type="dxa"/>
            <w:vAlign w:val="center"/>
          </w:tcPr>
          <w:p w14:paraId="065A8416">
            <w:pPr>
              <w:numPr>
                <w:ilvl w:val="0"/>
                <w:numId w:val="1"/>
              </w:numPr>
              <w:spacing w:line="400" w:lineRule="exact"/>
              <w:jc w:val="center"/>
              <w:rPr>
                <w:rFonts w:ascii="Times New Roman" w:hAnsi="Times New Roman"/>
                <w:color w:val="auto"/>
                <w:sz w:val="24"/>
                <w:szCs w:val="24"/>
                <w:highlight w:val="none"/>
                <w:shd w:val="clear" w:color="auto" w:fill="FFFFFF"/>
                <w:lang w:bidi="ar"/>
              </w:rPr>
            </w:pPr>
          </w:p>
        </w:tc>
        <w:tc>
          <w:tcPr>
            <w:tcW w:w="2266" w:type="dxa"/>
            <w:vAlign w:val="center"/>
          </w:tcPr>
          <w:p w14:paraId="5BFD64C2">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偏差</w:t>
            </w:r>
          </w:p>
        </w:tc>
        <w:tc>
          <w:tcPr>
            <w:tcW w:w="5727" w:type="dxa"/>
          </w:tcPr>
          <w:p w14:paraId="5353CA75">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■不允许负偏离</w:t>
            </w:r>
            <w:r>
              <w:rPr>
                <w:rFonts w:hint="eastAsia" w:ascii="Times New Roman" w:hAnsi="Times New Roman"/>
                <w:color w:val="auto"/>
                <w:sz w:val="24"/>
                <w:szCs w:val="24"/>
                <w:highlight w:val="none"/>
              </w:rPr>
              <w:t>。</w:t>
            </w:r>
          </w:p>
        </w:tc>
      </w:tr>
      <w:tr w14:paraId="1AF27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665" w:type="dxa"/>
            <w:vAlign w:val="center"/>
          </w:tcPr>
          <w:p w14:paraId="180E3C9C">
            <w:pPr>
              <w:numPr>
                <w:ilvl w:val="0"/>
                <w:numId w:val="1"/>
              </w:numPr>
              <w:spacing w:line="400" w:lineRule="exact"/>
              <w:jc w:val="center"/>
              <w:rPr>
                <w:rFonts w:ascii="Times New Roman" w:hAnsi="Times New Roman"/>
                <w:color w:val="auto"/>
                <w:sz w:val="24"/>
                <w:szCs w:val="24"/>
                <w:highlight w:val="none"/>
                <w:shd w:val="clear" w:color="auto" w:fill="FFFFFF"/>
                <w:lang w:bidi="ar"/>
              </w:rPr>
            </w:pPr>
          </w:p>
        </w:tc>
        <w:tc>
          <w:tcPr>
            <w:tcW w:w="2266" w:type="dxa"/>
            <w:vAlign w:val="center"/>
          </w:tcPr>
          <w:p w14:paraId="0385DD2F">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分包</w:t>
            </w:r>
          </w:p>
        </w:tc>
        <w:tc>
          <w:tcPr>
            <w:tcW w:w="5727" w:type="dxa"/>
            <w:vAlign w:val="center"/>
          </w:tcPr>
          <w:p w14:paraId="7BEAD7B9">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w:t>
            </w:r>
            <w:r>
              <w:rPr>
                <w:rFonts w:hint="eastAsia" w:ascii="Times New Roman" w:hAnsi="Times New Roman"/>
                <w:color w:val="auto"/>
                <w:sz w:val="24"/>
                <w:szCs w:val="21"/>
                <w:highlight w:val="none"/>
              </w:rPr>
              <w:t>不允许</w:t>
            </w:r>
          </w:p>
        </w:tc>
      </w:tr>
      <w:tr w14:paraId="0CA7D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665" w:type="dxa"/>
            <w:vAlign w:val="center"/>
          </w:tcPr>
          <w:p w14:paraId="6EECD2B4">
            <w:pPr>
              <w:numPr>
                <w:ilvl w:val="0"/>
                <w:numId w:val="1"/>
              </w:numPr>
              <w:spacing w:line="400" w:lineRule="exact"/>
              <w:jc w:val="center"/>
              <w:rPr>
                <w:rFonts w:ascii="Times New Roman" w:hAnsi="Times New Roman"/>
                <w:color w:val="auto"/>
                <w:sz w:val="24"/>
                <w:szCs w:val="24"/>
                <w:highlight w:val="none"/>
                <w:shd w:val="clear" w:color="auto" w:fill="FFFFFF"/>
                <w:lang w:bidi="ar"/>
              </w:rPr>
            </w:pPr>
          </w:p>
        </w:tc>
        <w:tc>
          <w:tcPr>
            <w:tcW w:w="2266" w:type="dxa"/>
            <w:vAlign w:val="center"/>
          </w:tcPr>
          <w:p w14:paraId="35C57726">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询问和质疑</w:t>
            </w:r>
          </w:p>
        </w:tc>
        <w:tc>
          <w:tcPr>
            <w:tcW w:w="5727" w:type="dxa"/>
            <w:vAlign w:val="center"/>
          </w:tcPr>
          <w:p w14:paraId="2F8F5741">
            <w:pPr>
              <w:spacing w:line="400" w:lineRule="exact"/>
              <w:ind w:firstLine="480" w:firstLineChars="200"/>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rPr>
              <w:t>投标供应商如对招标文件有异议的，应在知道或者应知其权益受到损害之日起七个工作日内，向采购人或采购代理机构书面提出，否则，将被视为认可本招标文件所有内容。</w:t>
            </w:r>
          </w:p>
        </w:tc>
      </w:tr>
      <w:tr w14:paraId="60FB8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65" w:type="dxa"/>
            <w:vAlign w:val="center"/>
          </w:tcPr>
          <w:p w14:paraId="3BDCE808">
            <w:pPr>
              <w:numPr>
                <w:ilvl w:val="0"/>
                <w:numId w:val="1"/>
              </w:numPr>
              <w:spacing w:line="400" w:lineRule="exact"/>
              <w:jc w:val="center"/>
              <w:rPr>
                <w:rFonts w:ascii="Times New Roman" w:hAnsi="Times New Roman"/>
                <w:color w:val="auto"/>
                <w:sz w:val="24"/>
                <w:szCs w:val="24"/>
                <w:highlight w:val="none"/>
                <w:shd w:val="clear" w:color="auto" w:fill="FFFFFF"/>
                <w:lang w:bidi="ar"/>
              </w:rPr>
            </w:pPr>
          </w:p>
        </w:tc>
        <w:tc>
          <w:tcPr>
            <w:tcW w:w="2266" w:type="dxa"/>
            <w:vAlign w:val="center"/>
          </w:tcPr>
          <w:p w14:paraId="40F20B32">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采购人书面澄清的时间</w:t>
            </w:r>
          </w:p>
        </w:tc>
        <w:tc>
          <w:tcPr>
            <w:tcW w:w="5727" w:type="dxa"/>
            <w:vAlign w:val="center"/>
          </w:tcPr>
          <w:p w14:paraId="20D03836">
            <w:pPr>
              <w:spacing w:line="400" w:lineRule="exac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投标截止时间</w:t>
            </w:r>
            <w:r>
              <w:rPr>
                <w:rFonts w:ascii="Times New Roman" w:hAnsi="Times New Roman"/>
                <w:color w:val="auto"/>
                <w:sz w:val="24"/>
                <w:szCs w:val="24"/>
                <w:highlight w:val="none"/>
                <w:shd w:val="clear" w:color="auto" w:fill="FFFFFF"/>
                <w:lang w:bidi="ar"/>
              </w:rPr>
              <w:t>15</w:t>
            </w:r>
            <w:r>
              <w:rPr>
                <w:rFonts w:hint="eastAsia" w:ascii="Times New Roman" w:hAnsi="Times New Roman"/>
                <w:color w:val="auto"/>
                <w:sz w:val="24"/>
                <w:szCs w:val="24"/>
                <w:highlight w:val="none"/>
                <w:shd w:val="clear" w:color="auto" w:fill="FFFFFF"/>
                <w:lang w:bidi="ar"/>
              </w:rPr>
              <w:t>日以前。</w:t>
            </w:r>
          </w:p>
        </w:tc>
      </w:tr>
      <w:tr w14:paraId="3BCA9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665" w:type="dxa"/>
            <w:vAlign w:val="center"/>
          </w:tcPr>
          <w:p w14:paraId="628F6788">
            <w:pPr>
              <w:numPr>
                <w:ilvl w:val="0"/>
                <w:numId w:val="1"/>
              </w:numPr>
              <w:spacing w:line="400" w:lineRule="exact"/>
              <w:jc w:val="center"/>
              <w:rPr>
                <w:rFonts w:ascii="Times New Roman" w:hAnsi="Times New Roman"/>
                <w:color w:val="auto"/>
                <w:sz w:val="24"/>
                <w:szCs w:val="24"/>
                <w:highlight w:val="none"/>
                <w:shd w:val="clear" w:color="auto" w:fill="FFFFFF"/>
                <w:lang w:bidi="ar"/>
              </w:rPr>
            </w:pPr>
          </w:p>
        </w:tc>
        <w:tc>
          <w:tcPr>
            <w:tcW w:w="2266" w:type="dxa"/>
            <w:vAlign w:val="center"/>
          </w:tcPr>
          <w:p w14:paraId="2DED3B08">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供应商提出问题的截止时间</w:t>
            </w:r>
          </w:p>
        </w:tc>
        <w:tc>
          <w:tcPr>
            <w:tcW w:w="5727" w:type="dxa"/>
            <w:vAlign w:val="center"/>
          </w:tcPr>
          <w:p w14:paraId="37FF73BA">
            <w:pPr>
              <w:spacing w:line="400" w:lineRule="exac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投标截止时间</w:t>
            </w:r>
            <w:r>
              <w:rPr>
                <w:rFonts w:ascii="Times New Roman" w:hAnsi="Times New Roman"/>
                <w:color w:val="auto"/>
                <w:sz w:val="24"/>
                <w:szCs w:val="24"/>
                <w:highlight w:val="none"/>
                <w:shd w:val="clear" w:color="auto" w:fill="FFFFFF"/>
                <w:lang w:bidi="ar"/>
              </w:rPr>
              <w:t>10</w:t>
            </w:r>
            <w:r>
              <w:rPr>
                <w:rFonts w:hint="eastAsia" w:ascii="Times New Roman" w:hAnsi="Times New Roman"/>
                <w:color w:val="auto"/>
                <w:sz w:val="24"/>
                <w:szCs w:val="24"/>
                <w:highlight w:val="none"/>
                <w:shd w:val="clear" w:color="auto" w:fill="FFFFFF"/>
                <w:lang w:bidi="ar"/>
              </w:rPr>
              <w:t>日以前。</w:t>
            </w:r>
          </w:p>
        </w:tc>
      </w:tr>
      <w:tr w14:paraId="1CC99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665" w:type="dxa"/>
            <w:vAlign w:val="center"/>
          </w:tcPr>
          <w:p w14:paraId="32495E2C">
            <w:pPr>
              <w:numPr>
                <w:ilvl w:val="0"/>
                <w:numId w:val="1"/>
              </w:numPr>
              <w:spacing w:line="400" w:lineRule="exact"/>
              <w:jc w:val="center"/>
              <w:rPr>
                <w:rFonts w:ascii="Times New Roman" w:hAnsi="Times New Roman"/>
                <w:color w:val="auto"/>
                <w:sz w:val="24"/>
                <w:szCs w:val="24"/>
                <w:highlight w:val="none"/>
                <w:shd w:val="clear" w:color="auto" w:fill="FFFFFF"/>
                <w:lang w:bidi="ar"/>
              </w:rPr>
            </w:pPr>
          </w:p>
        </w:tc>
        <w:tc>
          <w:tcPr>
            <w:tcW w:w="2266" w:type="dxa"/>
            <w:vAlign w:val="center"/>
          </w:tcPr>
          <w:p w14:paraId="14FB1863">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投标截止时间</w:t>
            </w:r>
          </w:p>
        </w:tc>
        <w:tc>
          <w:tcPr>
            <w:tcW w:w="5727" w:type="dxa"/>
          </w:tcPr>
          <w:p w14:paraId="45B5081C">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2025年09月16日08时30分（北京时间）</w:t>
            </w:r>
          </w:p>
        </w:tc>
      </w:tr>
      <w:tr w14:paraId="27DB6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665" w:type="dxa"/>
            <w:vAlign w:val="center"/>
          </w:tcPr>
          <w:p w14:paraId="21250FB7">
            <w:pPr>
              <w:numPr>
                <w:ilvl w:val="0"/>
                <w:numId w:val="1"/>
              </w:numPr>
              <w:spacing w:line="400" w:lineRule="exact"/>
              <w:jc w:val="center"/>
              <w:rPr>
                <w:rFonts w:ascii="Times New Roman" w:hAnsi="Times New Roman"/>
                <w:color w:val="auto"/>
                <w:sz w:val="24"/>
                <w:szCs w:val="24"/>
                <w:highlight w:val="none"/>
                <w:shd w:val="clear" w:color="auto" w:fill="FFFFFF"/>
                <w:lang w:bidi="ar"/>
              </w:rPr>
            </w:pPr>
          </w:p>
        </w:tc>
        <w:tc>
          <w:tcPr>
            <w:tcW w:w="2266" w:type="dxa"/>
            <w:vAlign w:val="center"/>
          </w:tcPr>
          <w:p w14:paraId="02F4A489">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投标人确认收到招标文件澄清的时间</w:t>
            </w:r>
          </w:p>
        </w:tc>
        <w:tc>
          <w:tcPr>
            <w:tcW w:w="5727" w:type="dxa"/>
          </w:tcPr>
          <w:p w14:paraId="3759752E">
            <w:pPr>
              <w:spacing w:line="400" w:lineRule="exact"/>
              <w:ind w:firstLine="480" w:firstLineChars="200"/>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投标供应商应登录三门峡市公共资源交易网站自行查看澄清信息或在澄清公告发布相关网站（同招标公告发布媒介）自行查看招标文件澄清信息。</w:t>
            </w:r>
          </w:p>
        </w:tc>
      </w:tr>
      <w:tr w14:paraId="161DF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665" w:type="dxa"/>
            <w:vAlign w:val="center"/>
          </w:tcPr>
          <w:p w14:paraId="291F2A6E">
            <w:pPr>
              <w:numPr>
                <w:ilvl w:val="0"/>
                <w:numId w:val="1"/>
              </w:numPr>
              <w:spacing w:line="400" w:lineRule="exact"/>
              <w:jc w:val="center"/>
              <w:rPr>
                <w:rFonts w:ascii="Times New Roman" w:hAnsi="Times New Roman"/>
                <w:color w:val="auto"/>
                <w:sz w:val="24"/>
                <w:szCs w:val="24"/>
                <w:highlight w:val="none"/>
                <w:shd w:val="clear" w:color="auto" w:fill="FFFFFF"/>
                <w:lang w:bidi="ar"/>
              </w:rPr>
            </w:pPr>
          </w:p>
        </w:tc>
        <w:tc>
          <w:tcPr>
            <w:tcW w:w="2266" w:type="dxa"/>
          </w:tcPr>
          <w:p w14:paraId="4188C6B7">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投标人确认收到招标文件修改的时间</w:t>
            </w:r>
          </w:p>
        </w:tc>
        <w:tc>
          <w:tcPr>
            <w:tcW w:w="5727" w:type="dxa"/>
            <w:vAlign w:val="center"/>
          </w:tcPr>
          <w:p w14:paraId="0763F685">
            <w:pPr>
              <w:spacing w:line="400" w:lineRule="exact"/>
              <w:ind w:firstLine="480" w:firstLineChars="200"/>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投标供应商应登录三门峡市公共资源交易网站自行查看招标文件修改信息。</w:t>
            </w:r>
          </w:p>
        </w:tc>
      </w:tr>
      <w:tr w14:paraId="0B885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665" w:type="dxa"/>
            <w:vAlign w:val="center"/>
          </w:tcPr>
          <w:p w14:paraId="56A3E3BD">
            <w:pPr>
              <w:numPr>
                <w:ilvl w:val="0"/>
                <w:numId w:val="1"/>
              </w:numPr>
              <w:spacing w:line="400" w:lineRule="exact"/>
              <w:jc w:val="center"/>
              <w:rPr>
                <w:rFonts w:ascii="Times New Roman" w:hAnsi="Times New Roman"/>
                <w:color w:val="auto"/>
                <w:sz w:val="24"/>
                <w:szCs w:val="24"/>
                <w:highlight w:val="none"/>
                <w:shd w:val="clear" w:color="auto" w:fill="FFFFFF"/>
                <w:lang w:bidi="ar"/>
              </w:rPr>
            </w:pPr>
          </w:p>
        </w:tc>
        <w:tc>
          <w:tcPr>
            <w:tcW w:w="2266" w:type="dxa"/>
            <w:vAlign w:val="center"/>
          </w:tcPr>
          <w:p w14:paraId="1EE4AE81">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投标有效期</w:t>
            </w:r>
          </w:p>
        </w:tc>
        <w:tc>
          <w:tcPr>
            <w:tcW w:w="5727" w:type="dxa"/>
          </w:tcPr>
          <w:p w14:paraId="790B043F">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投标文件递交截止之日起9</w:t>
            </w:r>
            <w:r>
              <w:rPr>
                <w:rFonts w:ascii="Times New Roman" w:hAnsi="Times New Roman"/>
                <w:color w:val="auto"/>
                <w:sz w:val="24"/>
                <w:szCs w:val="24"/>
                <w:highlight w:val="none"/>
                <w:shd w:val="clear" w:color="auto" w:fill="FFFFFF"/>
                <w:lang w:bidi="ar"/>
              </w:rPr>
              <w:t>0</w:t>
            </w:r>
            <w:r>
              <w:rPr>
                <w:rFonts w:hint="eastAsia" w:ascii="Times New Roman" w:hAnsi="Times New Roman"/>
                <w:color w:val="auto"/>
                <w:sz w:val="24"/>
                <w:szCs w:val="24"/>
                <w:highlight w:val="none"/>
                <w:shd w:val="clear" w:color="auto" w:fill="FFFFFF"/>
                <w:lang w:bidi="ar"/>
              </w:rPr>
              <w:t>天。</w:t>
            </w:r>
          </w:p>
        </w:tc>
      </w:tr>
      <w:tr w14:paraId="7ADC1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665" w:type="dxa"/>
            <w:vAlign w:val="center"/>
          </w:tcPr>
          <w:p w14:paraId="015AC375">
            <w:pPr>
              <w:numPr>
                <w:ilvl w:val="0"/>
                <w:numId w:val="1"/>
              </w:numPr>
              <w:spacing w:line="400" w:lineRule="exact"/>
              <w:jc w:val="center"/>
              <w:rPr>
                <w:rFonts w:ascii="Times New Roman" w:hAnsi="Times New Roman"/>
                <w:color w:val="auto"/>
                <w:sz w:val="24"/>
                <w:szCs w:val="24"/>
                <w:highlight w:val="none"/>
                <w:shd w:val="clear" w:color="auto" w:fill="FFFFFF"/>
                <w:lang w:bidi="ar"/>
              </w:rPr>
            </w:pPr>
          </w:p>
        </w:tc>
        <w:tc>
          <w:tcPr>
            <w:tcW w:w="2266" w:type="dxa"/>
            <w:vAlign w:val="center"/>
          </w:tcPr>
          <w:p w14:paraId="5C7E14B0">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投标保证金</w:t>
            </w:r>
          </w:p>
        </w:tc>
        <w:tc>
          <w:tcPr>
            <w:tcW w:w="5727" w:type="dxa"/>
          </w:tcPr>
          <w:p w14:paraId="67DA599B">
            <w:pPr>
              <w:spacing w:line="400" w:lineRule="exact"/>
              <w:ind w:firstLine="480" w:firstLineChars="200"/>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根据《河南省财政厅关于优化政府采购营商环境有关问题的通知》（豫财购【</w:t>
            </w:r>
            <w:r>
              <w:rPr>
                <w:rFonts w:ascii="Times New Roman" w:hAnsi="Times New Roman"/>
                <w:color w:val="auto"/>
                <w:sz w:val="24"/>
                <w:szCs w:val="24"/>
                <w:highlight w:val="none"/>
                <w:shd w:val="clear" w:color="auto" w:fill="FFFFFF"/>
                <w:lang w:bidi="ar"/>
              </w:rPr>
              <w:t>2019</w:t>
            </w:r>
            <w:r>
              <w:rPr>
                <w:rFonts w:hint="eastAsia" w:ascii="Times New Roman" w:hAnsi="Times New Roman"/>
                <w:color w:val="auto"/>
                <w:sz w:val="24"/>
                <w:szCs w:val="24"/>
                <w:highlight w:val="none"/>
                <w:shd w:val="clear" w:color="auto" w:fill="FFFFFF"/>
                <w:lang w:bidi="ar"/>
              </w:rPr>
              <w:t>】</w:t>
            </w:r>
            <w:r>
              <w:rPr>
                <w:rFonts w:ascii="Times New Roman" w:hAnsi="Times New Roman"/>
                <w:color w:val="auto"/>
                <w:sz w:val="24"/>
                <w:szCs w:val="24"/>
                <w:highlight w:val="none"/>
                <w:shd w:val="clear" w:color="auto" w:fill="FFFFFF"/>
                <w:lang w:bidi="ar"/>
              </w:rPr>
              <w:t>4</w:t>
            </w:r>
            <w:r>
              <w:rPr>
                <w:rFonts w:hint="eastAsia" w:ascii="Times New Roman" w:hAnsi="Times New Roman"/>
                <w:color w:val="auto"/>
                <w:sz w:val="24"/>
                <w:szCs w:val="24"/>
                <w:highlight w:val="none"/>
                <w:shd w:val="clear" w:color="auto" w:fill="FFFFFF"/>
                <w:lang w:bidi="ar"/>
              </w:rPr>
              <w:t>号）第</w:t>
            </w:r>
            <w:r>
              <w:rPr>
                <w:rFonts w:ascii="Times New Roman" w:hAnsi="Times New Roman"/>
                <w:color w:val="auto"/>
                <w:sz w:val="24"/>
                <w:szCs w:val="24"/>
                <w:highlight w:val="none"/>
                <w:shd w:val="clear" w:color="auto" w:fill="FFFFFF"/>
                <w:lang w:bidi="ar"/>
              </w:rPr>
              <w:t>6</w:t>
            </w:r>
            <w:r>
              <w:rPr>
                <w:rFonts w:hint="eastAsia" w:ascii="Times New Roman" w:hAnsi="Times New Roman"/>
                <w:color w:val="auto"/>
                <w:sz w:val="24"/>
                <w:szCs w:val="24"/>
                <w:highlight w:val="none"/>
                <w:shd w:val="clear" w:color="auto" w:fill="FFFFFF"/>
                <w:lang w:bidi="ar"/>
              </w:rPr>
              <w:t>条的规定，投标保证金不再收取。需提供</w:t>
            </w:r>
            <w:bookmarkStart w:id="14" w:name="OLE_LINK61"/>
            <w:bookmarkStart w:id="15" w:name="OLE_LINK62"/>
            <w:r>
              <w:rPr>
                <w:rFonts w:hint="eastAsia" w:ascii="Times New Roman" w:hAnsi="Times New Roman"/>
                <w:color w:val="auto"/>
                <w:sz w:val="24"/>
                <w:szCs w:val="24"/>
                <w:highlight w:val="none"/>
                <w:shd w:val="clear" w:color="auto" w:fill="FFFFFF"/>
                <w:lang w:bidi="ar"/>
              </w:rPr>
              <w:t>投标承诺函</w:t>
            </w:r>
            <w:bookmarkEnd w:id="14"/>
            <w:bookmarkEnd w:id="15"/>
            <w:r>
              <w:rPr>
                <w:rFonts w:hint="eastAsia" w:ascii="Times New Roman" w:hAnsi="Times New Roman"/>
                <w:color w:val="auto"/>
                <w:sz w:val="24"/>
                <w:szCs w:val="24"/>
                <w:highlight w:val="none"/>
                <w:shd w:val="clear" w:color="auto" w:fill="FFFFFF"/>
                <w:lang w:bidi="ar"/>
              </w:rPr>
              <w:t>（详见投标文件格式）。</w:t>
            </w:r>
            <w:r>
              <w:rPr>
                <w:rFonts w:hint="eastAsia" w:ascii="Times New Roman" w:hAnsi="Times New Roman"/>
                <w:color w:val="auto"/>
                <w:sz w:val="24"/>
                <w:szCs w:val="24"/>
                <w:highlight w:val="none"/>
              </w:rPr>
              <w:t>须按照采购文件要求提交投标承诺函，内容详见投标文件格式《投标承诺函》，</w:t>
            </w:r>
            <w:r>
              <w:rPr>
                <w:rFonts w:hint="eastAsia" w:ascii="Times New Roman" w:hAnsi="Times New Roman"/>
                <w:b/>
                <w:color w:val="auto"/>
                <w:sz w:val="24"/>
                <w:szCs w:val="24"/>
                <w:highlight w:val="none"/>
              </w:rPr>
              <w:t>不提供者视为无效投标</w:t>
            </w:r>
            <w:r>
              <w:rPr>
                <w:rFonts w:hint="eastAsia" w:ascii="Times New Roman" w:hAnsi="Times New Roman"/>
                <w:color w:val="auto"/>
                <w:sz w:val="24"/>
                <w:szCs w:val="24"/>
                <w:highlight w:val="none"/>
              </w:rPr>
              <w:t>；不能按照投标承诺函履行的，视为放弃中标资格，并承担相关法律责任。</w:t>
            </w:r>
          </w:p>
        </w:tc>
      </w:tr>
      <w:tr w14:paraId="18CA1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665" w:type="dxa"/>
            <w:vAlign w:val="center"/>
          </w:tcPr>
          <w:p w14:paraId="6617177F">
            <w:pPr>
              <w:numPr>
                <w:ilvl w:val="0"/>
                <w:numId w:val="1"/>
              </w:numPr>
              <w:spacing w:line="400" w:lineRule="exact"/>
              <w:jc w:val="center"/>
              <w:rPr>
                <w:rFonts w:ascii="Times New Roman" w:hAnsi="Times New Roman"/>
                <w:color w:val="auto"/>
                <w:sz w:val="24"/>
                <w:szCs w:val="24"/>
                <w:highlight w:val="none"/>
                <w:shd w:val="clear" w:color="auto" w:fill="FFFFFF"/>
                <w:lang w:bidi="ar"/>
              </w:rPr>
            </w:pPr>
          </w:p>
        </w:tc>
        <w:tc>
          <w:tcPr>
            <w:tcW w:w="2266" w:type="dxa"/>
          </w:tcPr>
          <w:p w14:paraId="156B8578">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近年财务状况的年份要求</w:t>
            </w:r>
          </w:p>
        </w:tc>
        <w:tc>
          <w:tcPr>
            <w:tcW w:w="5727" w:type="dxa"/>
            <w:vAlign w:val="center"/>
          </w:tcPr>
          <w:p w14:paraId="2AD6D26A">
            <w:pPr>
              <w:spacing w:line="400" w:lineRule="exac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提供</w:t>
            </w:r>
            <w:r>
              <w:rPr>
                <w:rFonts w:ascii="Times New Roman" w:hAnsi="Times New Roman"/>
                <w:color w:val="auto"/>
                <w:sz w:val="24"/>
                <w:szCs w:val="24"/>
                <w:highlight w:val="none"/>
                <w:shd w:val="clear" w:color="auto" w:fill="FFFFFF"/>
                <w:lang w:bidi="ar"/>
              </w:rPr>
              <w:t>2024</w:t>
            </w:r>
            <w:r>
              <w:rPr>
                <w:rFonts w:hint="eastAsia" w:ascii="Times New Roman" w:hAnsi="Times New Roman"/>
                <w:color w:val="auto"/>
                <w:sz w:val="24"/>
                <w:szCs w:val="24"/>
                <w:highlight w:val="none"/>
                <w:shd w:val="clear" w:color="auto" w:fill="FFFFFF"/>
                <w:lang w:bidi="ar"/>
              </w:rPr>
              <w:t>年度经审计的财务状况报告（成立时间不足一年的，可提供成立时间至当前时间节点的财务状况报告）</w:t>
            </w:r>
          </w:p>
        </w:tc>
      </w:tr>
      <w:tr w14:paraId="02BBE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665" w:type="dxa"/>
            <w:vAlign w:val="center"/>
          </w:tcPr>
          <w:p w14:paraId="5C9A41BD">
            <w:pPr>
              <w:numPr>
                <w:ilvl w:val="0"/>
                <w:numId w:val="1"/>
              </w:numPr>
              <w:spacing w:line="400" w:lineRule="exact"/>
              <w:jc w:val="center"/>
              <w:rPr>
                <w:rFonts w:ascii="Times New Roman" w:hAnsi="Times New Roman"/>
                <w:color w:val="auto"/>
                <w:sz w:val="24"/>
                <w:szCs w:val="24"/>
                <w:highlight w:val="none"/>
                <w:shd w:val="clear" w:color="auto" w:fill="FFFFFF"/>
                <w:lang w:bidi="ar"/>
              </w:rPr>
            </w:pPr>
          </w:p>
        </w:tc>
        <w:tc>
          <w:tcPr>
            <w:tcW w:w="2266" w:type="dxa"/>
          </w:tcPr>
          <w:p w14:paraId="41242D81">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近年完成的类似项目的年份要求</w:t>
            </w:r>
          </w:p>
        </w:tc>
        <w:tc>
          <w:tcPr>
            <w:tcW w:w="5727" w:type="dxa"/>
            <w:vAlign w:val="center"/>
          </w:tcPr>
          <w:p w14:paraId="7D17DC67">
            <w:pPr>
              <w:spacing w:line="400" w:lineRule="exact"/>
              <w:rPr>
                <w:rFonts w:ascii="Times New Roman" w:hAnsi="Times New Roman"/>
                <w:color w:val="auto"/>
                <w:sz w:val="24"/>
                <w:szCs w:val="24"/>
                <w:highlight w:val="none"/>
                <w:shd w:val="clear" w:color="auto" w:fill="FFFFFF"/>
                <w:lang w:bidi="ar"/>
              </w:rPr>
            </w:pPr>
            <w:r>
              <w:rPr>
                <w:rFonts w:ascii="Times New Roman" w:hAnsi="Times New Roman"/>
                <w:color w:val="auto"/>
                <w:sz w:val="24"/>
                <w:szCs w:val="24"/>
                <w:highlight w:val="none"/>
                <w:shd w:val="clear" w:color="auto" w:fill="FFFFFF"/>
                <w:lang w:bidi="ar"/>
              </w:rPr>
              <w:t>2022</w:t>
            </w:r>
            <w:r>
              <w:rPr>
                <w:rFonts w:hint="eastAsia" w:ascii="Times New Roman" w:hAnsi="Times New Roman"/>
                <w:color w:val="auto"/>
                <w:sz w:val="24"/>
                <w:szCs w:val="24"/>
                <w:highlight w:val="none"/>
                <w:shd w:val="clear" w:color="auto" w:fill="FFFFFF"/>
                <w:lang w:bidi="ar"/>
              </w:rPr>
              <w:t>年</w:t>
            </w:r>
            <w:r>
              <w:rPr>
                <w:rFonts w:ascii="Times New Roman" w:hAnsi="Times New Roman"/>
                <w:color w:val="auto"/>
                <w:sz w:val="24"/>
                <w:szCs w:val="24"/>
                <w:highlight w:val="none"/>
                <w:shd w:val="clear" w:color="auto" w:fill="FFFFFF"/>
                <w:lang w:bidi="ar"/>
              </w:rPr>
              <w:t>1</w:t>
            </w:r>
            <w:r>
              <w:rPr>
                <w:rFonts w:hint="eastAsia" w:ascii="Times New Roman" w:hAnsi="Times New Roman"/>
                <w:color w:val="auto"/>
                <w:sz w:val="24"/>
                <w:szCs w:val="24"/>
                <w:highlight w:val="none"/>
                <w:shd w:val="clear" w:color="auto" w:fill="FFFFFF"/>
                <w:lang w:bidi="ar"/>
              </w:rPr>
              <w:t>月</w:t>
            </w:r>
            <w:r>
              <w:rPr>
                <w:rFonts w:ascii="Times New Roman" w:hAnsi="Times New Roman"/>
                <w:color w:val="auto"/>
                <w:sz w:val="24"/>
                <w:szCs w:val="24"/>
                <w:highlight w:val="none"/>
                <w:shd w:val="clear" w:color="auto" w:fill="FFFFFF"/>
                <w:lang w:bidi="ar"/>
              </w:rPr>
              <w:t>1</w:t>
            </w:r>
            <w:r>
              <w:rPr>
                <w:rFonts w:hint="eastAsia" w:ascii="Times New Roman" w:hAnsi="Times New Roman"/>
                <w:color w:val="auto"/>
                <w:sz w:val="24"/>
                <w:szCs w:val="24"/>
                <w:highlight w:val="none"/>
                <w:shd w:val="clear" w:color="auto" w:fill="FFFFFF"/>
                <w:lang w:bidi="ar"/>
              </w:rPr>
              <w:t>日以来至今。</w:t>
            </w:r>
          </w:p>
        </w:tc>
      </w:tr>
      <w:tr w14:paraId="514B6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665" w:type="dxa"/>
            <w:vAlign w:val="center"/>
          </w:tcPr>
          <w:p w14:paraId="5180A0D6">
            <w:pPr>
              <w:numPr>
                <w:ilvl w:val="0"/>
                <w:numId w:val="1"/>
              </w:numPr>
              <w:spacing w:line="400" w:lineRule="exact"/>
              <w:jc w:val="center"/>
              <w:rPr>
                <w:rFonts w:ascii="Times New Roman" w:hAnsi="Times New Roman"/>
                <w:color w:val="auto"/>
                <w:sz w:val="24"/>
                <w:szCs w:val="24"/>
                <w:highlight w:val="none"/>
                <w:shd w:val="clear" w:color="auto" w:fill="FFFFFF"/>
                <w:lang w:bidi="ar"/>
              </w:rPr>
            </w:pPr>
          </w:p>
        </w:tc>
        <w:tc>
          <w:tcPr>
            <w:tcW w:w="2266" w:type="dxa"/>
          </w:tcPr>
          <w:p w14:paraId="0C83412C">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近年发生的诉讼及仲裁情况的年份要求</w:t>
            </w:r>
          </w:p>
        </w:tc>
        <w:tc>
          <w:tcPr>
            <w:tcW w:w="5727" w:type="dxa"/>
            <w:vAlign w:val="center"/>
          </w:tcPr>
          <w:p w14:paraId="4B3B3CED">
            <w:pPr>
              <w:spacing w:line="400" w:lineRule="exact"/>
              <w:rPr>
                <w:rFonts w:ascii="Times New Roman" w:hAnsi="Times New Roman"/>
                <w:color w:val="auto"/>
                <w:sz w:val="24"/>
                <w:szCs w:val="24"/>
                <w:highlight w:val="none"/>
                <w:shd w:val="clear" w:color="auto" w:fill="FFFFFF"/>
                <w:lang w:bidi="ar"/>
              </w:rPr>
            </w:pPr>
            <w:r>
              <w:rPr>
                <w:rFonts w:ascii="Times New Roman" w:hAnsi="Times New Roman"/>
                <w:color w:val="auto"/>
                <w:sz w:val="24"/>
                <w:szCs w:val="24"/>
                <w:highlight w:val="none"/>
                <w:shd w:val="clear" w:color="auto" w:fill="FFFFFF"/>
                <w:lang w:bidi="ar"/>
              </w:rPr>
              <w:t>2022</w:t>
            </w:r>
            <w:r>
              <w:rPr>
                <w:rFonts w:hint="eastAsia" w:ascii="Times New Roman" w:hAnsi="Times New Roman"/>
                <w:color w:val="auto"/>
                <w:sz w:val="24"/>
                <w:szCs w:val="24"/>
                <w:highlight w:val="none"/>
                <w:shd w:val="clear" w:color="auto" w:fill="FFFFFF"/>
                <w:lang w:bidi="ar"/>
              </w:rPr>
              <w:t>年</w:t>
            </w:r>
            <w:r>
              <w:rPr>
                <w:rFonts w:ascii="Times New Roman" w:hAnsi="Times New Roman"/>
                <w:color w:val="auto"/>
                <w:sz w:val="24"/>
                <w:szCs w:val="24"/>
                <w:highlight w:val="none"/>
                <w:shd w:val="clear" w:color="auto" w:fill="FFFFFF"/>
                <w:lang w:bidi="ar"/>
              </w:rPr>
              <w:t>1</w:t>
            </w:r>
            <w:r>
              <w:rPr>
                <w:rFonts w:hint="eastAsia" w:ascii="Times New Roman" w:hAnsi="Times New Roman"/>
                <w:color w:val="auto"/>
                <w:sz w:val="24"/>
                <w:szCs w:val="24"/>
                <w:highlight w:val="none"/>
                <w:shd w:val="clear" w:color="auto" w:fill="FFFFFF"/>
                <w:lang w:bidi="ar"/>
              </w:rPr>
              <w:t>月</w:t>
            </w:r>
            <w:r>
              <w:rPr>
                <w:rFonts w:ascii="Times New Roman" w:hAnsi="Times New Roman"/>
                <w:color w:val="auto"/>
                <w:sz w:val="24"/>
                <w:szCs w:val="24"/>
                <w:highlight w:val="none"/>
                <w:shd w:val="clear" w:color="auto" w:fill="FFFFFF"/>
                <w:lang w:bidi="ar"/>
              </w:rPr>
              <w:t>1</w:t>
            </w:r>
            <w:r>
              <w:rPr>
                <w:rFonts w:hint="eastAsia" w:ascii="Times New Roman" w:hAnsi="Times New Roman"/>
                <w:color w:val="auto"/>
                <w:sz w:val="24"/>
                <w:szCs w:val="24"/>
                <w:highlight w:val="none"/>
                <w:shd w:val="clear" w:color="auto" w:fill="FFFFFF"/>
                <w:lang w:bidi="ar"/>
              </w:rPr>
              <w:t>日以来至今。</w:t>
            </w:r>
          </w:p>
        </w:tc>
      </w:tr>
      <w:tr w14:paraId="33009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665" w:type="dxa"/>
            <w:vAlign w:val="center"/>
          </w:tcPr>
          <w:p w14:paraId="123E0BEC">
            <w:pPr>
              <w:numPr>
                <w:ilvl w:val="0"/>
                <w:numId w:val="1"/>
              </w:numPr>
              <w:spacing w:line="400" w:lineRule="exact"/>
              <w:jc w:val="center"/>
              <w:rPr>
                <w:rFonts w:ascii="Times New Roman" w:hAnsi="Times New Roman"/>
                <w:color w:val="auto"/>
                <w:sz w:val="24"/>
                <w:szCs w:val="24"/>
                <w:highlight w:val="none"/>
                <w:shd w:val="clear" w:color="auto" w:fill="FFFFFF"/>
                <w:lang w:bidi="ar"/>
              </w:rPr>
            </w:pPr>
          </w:p>
        </w:tc>
        <w:tc>
          <w:tcPr>
            <w:tcW w:w="2266" w:type="dxa"/>
            <w:vAlign w:val="center"/>
          </w:tcPr>
          <w:p w14:paraId="6A3DD4B7">
            <w:pPr>
              <w:spacing w:line="400" w:lineRule="exac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highlight w:val="none"/>
              </w:rPr>
              <w:t>投标报价</w:t>
            </w:r>
          </w:p>
        </w:tc>
        <w:tc>
          <w:tcPr>
            <w:tcW w:w="5727" w:type="dxa"/>
            <w:vAlign w:val="center"/>
          </w:tcPr>
          <w:p w14:paraId="76018273">
            <w:pPr>
              <w:spacing w:line="400" w:lineRule="exact"/>
              <w:jc w:val="left"/>
              <w:rPr>
                <w:rFonts w:ascii="Times New Roman" w:hAnsi="Times New Roman"/>
                <w:color w:val="auto"/>
                <w:sz w:val="24"/>
                <w:szCs w:val="21"/>
                <w:highlight w:val="none"/>
              </w:rPr>
            </w:pPr>
            <w:r>
              <w:rPr>
                <w:rFonts w:hint="eastAsia" w:ascii="Times New Roman" w:hAnsi="Times New Roman"/>
                <w:color w:val="auto"/>
                <w:sz w:val="24"/>
                <w:szCs w:val="21"/>
                <w:highlight w:val="none"/>
              </w:rPr>
              <w:t>投标报价：投标供应商应按标段报出“投标函附表”中所载的各项货物的单价及价格合计</w:t>
            </w:r>
          </w:p>
          <w:p w14:paraId="60A11A31">
            <w:pPr>
              <w:keepLines/>
              <w:spacing w:line="400" w:lineRule="exact"/>
              <w:rPr>
                <w:rFonts w:ascii="Times New Roman" w:hAnsi="Times New Roman"/>
                <w:color w:val="auto"/>
                <w:sz w:val="24"/>
                <w:szCs w:val="21"/>
                <w:highlight w:val="none"/>
              </w:rPr>
            </w:pPr>
            <w:r>
              <w:rPr>
                <w:rFonts w:ascii="Times New Roman" w:hAnsi="Times New Roman"/>
                <w:color w:val="auto"/>
                <w:sz w:val="24"/>
                <w:szCs w:val="24"/>
                <w:highlight w:val="none"/>
              </w:rPr>
              <w:t>1</w:t>
            </w:r>
            <w:r>
              <w:rPr>
                <w:rFonts w:hint="eastAsia" w:ascii="Times New Roman" w:hAnsi="Times New Roman"/>
                <w:color w:val="auto"/>
                <w:sz w:val="24"/>
                <w:szCs w:val="21"/>
                <w:highlight w:val="none"/>
              </w:rPr>
              <w:t>）</w:t>
            </w:r>
            <w:r>
              <w:rPr>
                <w:rFonts w:hint="eastAsia" w:ascii="Times New Roman" w:hAnsi="Times New Roman"/>
                <w:color w:val="auto"/>
                <w:sz w:val="24"/>
                <w:szCs w:val="24"/>
                <w:highlight w:val="none"/>
              </w:rPr>
              <w:t>本项目应以人民币报价，</w:t>
            </w:r>
            <w:r>
              <w:rPr>
                <w:rFonts w:hint="eastAsia" w:ascii="Times New Roman" w:hAnsi="Times New Roman"/>
                <w:color w:val="auto"/>
                <w:sz w:val="24"/>
                <w:szCs w:val="21"/>
                <w:highlight w:val="none"/>
              </w:rPr>
              <w:t>其中应包含货物，运输费，安装费，调试费、税金、技术支持、售后服务等等与此项目相关的全部费用（投标供应商的报价视为已包括上述全部费用）。</w:t>
            </w:r>
            <w:r>
              <w:rPr>
                <w:rFonts w:hint="eastAsia" w:ascii="Times New Roman" w:hAnsi="Times New Roman"/>
                <w:color w:val="auto"/>
                <w:sz w:val="24"/>
                <w:szCs w:val="24"/>
                <w:highlight w:val="none"/>
              </w:rPr>
              <w:t>供应商应就该项目完整投标（报价、服务、税费、售后服务等综合费用），采购人不另外支付其他任何费用；</w:t>
            </w:r>
          </w:p>
          <w:p w14:paraId="1D2B034D">
            <w:pPr>
              <w:spacing w:line="400" w:lineRule="exact"/>
              <w:jc w:val="left"/>
              <w:rPr>
                <w:rFonts w:ascii="Times New Roman" w:hAnsi="Times New Roman"/>
                <w:color w:val="auto"/>
                <w:sz w:val="24"/>
                <w:szCs w:val="21"/>
                <w:highlight w:val="none"/>
              </w:rPr>
            </w:pPr>
            <w:r>
              <w:rPr>
                <w:rFonts w:ascii="Times New Roman" w:hAnsi="Times New Roman"/>
                <w:color w:val="auto"/>
                <w:sz w:val="24"/>
                <w:szCs w:val="21"/>
                <w:highlight w:val="none"/>
              </w:rPr>
              <w:t>2</w:t>
            </w:r>
            <w:r>
              <w:rPr>
                <w:rFonts w:hint="eastAsia" w:ascii="Times New Roman" w:hAnsi="Times New Roman"/>
                <w:color w:val="auto"/>
                <w:sz w:val="24"/>
                <w:szCs w:val="21"/>
                <w:highlight w:val="none"/>
              </w:rPr>
              <w:t>）投标报价应完全包括招标文件规定的货物和服务范围，不得任意分割或合并所规定的分项；</w:t>
            </w:r>
          </w:p>
          <w:p w14:paraId="5B695222">
            <w:pPr>
              <w:spacing w:line="400" w:lineRule="exact"/>
              <w:jc w:val="left"/>
              <w:rPr>
                <w:rFonts w:ascii="Times New Roman" w:hAnsi="Times New Roman"/>
                <w:color w:val="auto"/>
                <w:sz w:val="24"/>
                <w:szCs w:val="21"/>
                <w:highlight w:val="none"/>
              </w:rPr>
            </w:pPr>
            <w:r>
              <w:rPr>
                <w:rFonts w:ascii="Times New Roman" w:hAnsi="Times New Roman"/>
                <w:color w:val="auto"/>
                <w:sz w:val="24"/>
                <w:szCs w:val="21"/>
                <w:highlight w:val="none"/>
              </w:rPr>
              <w:t>3</w:t>
            </w:r>
            <w:r>
              <w:rPr>
                <w:rFonts w:hint="eastAsia" w:ascii="Times New Roman" w:hAnsi="Times New Roman"/>
                <w:color w:val="auto"/>
                <w:sz w:val="24"/>
                <w:szCs w:val="21"/>
                <w:highlight w:val="none"/>
              </w:rPr>
              <w:t>）投标供应商对每项货物只允许有一个报价，采购人和采购代理机构不接受有任何选择报价的投标。（注：单价的合计须等于各项物的价格之和，本项目不允许提交备选方案）；</w:t>
            </w:r>
          </w:p>
          <w:p w14:paraId="52967153">
            <w:pPr>
              <w:spacing w:line="400" w:lineRule="exact"/>
              <w:jc w:val="left"/>
              <w:rPr>
                <w:rFonts w:ascii="Times New Roman" w:hAnsi="Times New Roman"/>
                <w:color w:val="auto"/>
                <w:sz w:val="24"/>
                <w:szCs w:val="21"/>
                <w:highlight w:val="none"/>
              </w:rPr>
            </w:pPr>
            <w:r>
              <w:rPr>
                <w:rFonts w:ascii="Times New Roman" w:hAnsi="Times New Roman"/>
                <w:color w:val="auto"/>
                <w:sz w:val="24"/>
                <w:szCs w:val="21"/>
                <w:highlight w:val="none"/>
              </w:rPr>
              <w:t>4</w:t>
            </w:r>
            <w:r>
              <w:rPr>
                <w:rFonts w:hint="eastAsia" w:ascii="Times New Roman" w:hAnsi="Times New Roman"/>
                <w:color w:val="auto"/>
                <w:sz w:val="24"/>
                <w:szCs w:val="21"/>
                <w:highlight w:val="none"/>
              </w:rPr>
              <w:t>）投标供应商不得以任何理由在开标后对投标报价予以修改，报价在投标有效期内是固定的，不因任何原因而改变。任何包含价格调整要求和条件的投标，将被视为非实质性响应投标而予以拒绝；</w:t>
            </w:r>
          </w:p>
        </w:tc>
      </w:tr>
      <w:tr w14:paraId="7823F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665" w:type="dxa"/>
            <w:vAlign w:val="center"/>
          </w:tcPr>
          <w:p w14:paraId="77FAC65E">
            <w:pPr>
              <w:numPr>
                <w:ilvl w:val="0"/>
                <w:numId w:val="1"/>
              </w:numPr>
              <w:spacing w:line="400" w:lineRule="exact"/>
              <w:jc w:val="center"/>
              <w:rPr>
                <w:rFonts w:ascii="Times New Roman" w:hAnsi="Times New Roman"/>
                <w:color w:val="auto"/>
                <w:sz w:val="24"/>
                <w:szCs w:val="24"/>
                <w:highlight w:val="none"/>
                <w:shd w:val="clear" w:color="auto" w:fill="FFFFFF"/>
                <w:lang w:bidi="ar"/>
              </w:rPr>
            </w:pPr>
          </w:p>
        </w:tc>
        <w:tc>
          <w:tcPr>
            <w:tcW w:w="2266" w:type="dxa"/>
          </w:tcPr>
          <w:p w14:paraId="59C9062F">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是否允许递交备选投标方案</w:t>
            </w:r>
          </w:p>
        </w:tc>
        <w:tc>
          <w:tcPr>
            <w:tcW w:w="5727" w:type="dxa"/>
            <w:vAlign w:val="center"/>
          </w:tcPr>
          <w:p w14:paraId="3E56E10A">
            <w:pPr>
              <w:spacing w:line="400" w:lineRule="exac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■不允许。</w:t>
            </w:r>
          </w:p>
        </w:tc>
      </w:tr>
      <w:tr w14:paraId="1D1FA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trPr>
        <w:tc>
          <w:tcPr>
            <w:tcW w:w="665" w:type="dxa"/>
            <w:vAlign w:val="center"/>
          </w:tcPr>
          <w:p w14:paraId="42B52AF1">
            <w:pPr>
              <w:numPr>
                <w:ilvl w:val="0"/>
                <w:numId w:val="1"/>
              </w:numPr>
              <w:spacing w:line="400" w:lineRule="exact"/>
              <w:jc w:val="center"/>
              <w:rPr>
                <w:rFonts w:ascii="Times New Roman" w:hAnsi="Times New Roman"/>
                <w:color w:val="auto"/>
                <w:sz w:val="24"/>
                <w:szCs w:val="24"/>
                <w:highlight w:val="none"/>
                <w:shd w:val="clear" w:color="auto" w:fill="FFFFFF"/>
                <w:lang w:bidi="ar"/>
              </w:rPr>
            </w:pPr>
          </w:p>
        </w:tc>
        <w:tc>
          <w:tcPr>
            <w:tcW w:w="2266" w:type="dxa"/>
            <w:vAlign w:val="center"/>
          </w:tcPr>
          <w:p w14:paraId="03036E4A">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签字或盖章要求</w:t>
            </w:r>
          </w:p>
        </w:tc>
        <w:tc>
          <w:tcPr>
            <w:tcW w:w="5727" w:type="dxa"/>
          </w:tcPr>
          <w:p w14:paraId="49DE81BA">
            <w:pPr>
              <w:spacing w:line="400" w:lineRule="exact"/>
              <w:ind w:firstLine="458" w:firstLineChars="191"/>
              <w:jc w:val="left"/>
              <w:rPr>
                <w:rFonts w:ascii="Times New Roman" w:hAnsi="Times New Roman"/>
                <w:color w:val="auto"/>
                <w:sz w:val="24"/>
                <w:szCs w:val="24"/>
                <w:highlight w:val="none"/>
                <w:shd w:val="clear" w:color="auto" w:fill="FFFFFF"/>
                <w:lang w:bidi="ar"/>
              </w:rPr>
            </w:pPr>
            <w:r>
              <w:rPr>
                <w:rFonts w:ascii="Times New Roman" w:hAnsi="Times New Roman"/>
                <w:color w:val="auto"/>
                <w:sz w:val="24"/>
                <w:szCs w:val="24"/>
                <w:highlight w:val="none"/>
                <w:shd w:val="clear" w:color="auto" w:fill="FFFFFF"/>
                <w:lang w:bidi="ar"/>
              </w:rPr>
              <w:t>1.</w:t>
            </w:r>
            <w:r>
              <w:rPr>
                <w:rFonts w:hint="eastAsia" w:ascii="Times New Roman" w:hAnsi="Times New Roman"/>
                <w:color w:val="auto"/>
                <w:sz w:val="24"/>
                <w:szCs w:val="24"/>
                <w:highlight w:val="none"/>
                <w:shd w:val="clear" w:color="auto" w:fill="FFFFFF"/>
                <w:lang w:bidi="ar"/>
              </w:rPr>
              <w:t>本项目为电子化、无纸化交易项目，投标文件是投标人通过中心投标文件制作系统制作，并经过电子签章和加密后生成的电子化投标文件，未对电子化文件进行签章的视为无效投标。投标人投标时，将不再接受任何纸质文件资料。</w:t>
            </w:r>
          </w:p>
          <w:p w14:paraId="1CC146DD">
            <w:pPr>
              <w:spacing w:line="400" w:lineRule="exact"/>
              <w:ind w:firstLine="458" w:firstLineChars="191"/>
              <w:jc w:val="left"/>
              <w:rPr>
                <w:rFonts w:ascii="Times New Roman" w:hAnsi="Times New Roman"/>
                <w:color w:val="auto"/>
                <w:sz w:val="24"/>
                <w:szCs w:val="24"/>
                <w:highlight w:val="none"/>
                <w:shd w:val="clear" w:color="auto" w:fill="FFFFFF"/>
                <w:lang w:bidi="ar"/>
              </w:rPr>
            </w:pPr>
            <w:r>
              <w:rPr>
                <w:rFonts w:ascii="Times New Roman" w:hAnsi="Times New Roman"/>
                <w:color w:val="auto"/>
                <w:sz w:val="24"/>
                <w:szCs w:val="24"/>
                <w:highlight w:val="none"/>
                <w:shd w:val="clear" w:color="auto" w:fill="FFFFFF"/>
                <w:lang w:bidi="ar"/>
              </w:rPr>
              <w:t>2.</w:t>
            </w:r>
            <w:r>
              <w:rPr>
                <w:rFonts w:hint="eastAsia" w:ascii="Times New Roman" w:hAnsi="Times New Roman"/>
                <w:color w:val="auto"/>
                <w:sz w:val="24"/>
                <w:szCs w:val="24"/>
                <w:highlight w:val="none"/>
                <w:shd w:val="clear" w:color="auto" w:fill="FFFFFF"/>
                <w:lang w:bidi="ar"/>
              </w:rPr>
              <w:t>投标人在进行电子化投标文件签章时，以签盖法定代表人签章为准。</w:t>
            </w:r>
          </w:p>
        </w:tc>
      </w:tr>
      <w:tr w14:paraId="08C81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trPr>
        <w:tc>
          <w:tcPr>
            <w:tcW w:w="665" w:type="dxa"/>
            <w:vAlign w:val="center"/>
          </w:tcPr>
          <w:p w14:paraId="4AF4FF33">
            <w:pPr>
              <w:numPr>
                <w:ilvl w:val="0"/>
                <w:numId w:val="1"/>
              </w:numPr>
              <w:spacing w:line="400" w:lineRule="exact"/>
              <w:jc w:val="center"/>
              <w:rPr>
                <w:rFonts w:ascii="Times New Roman" w:hAnsi="Times New Roman"/>
                <w:color w:val="auto"/>
                <w:sz w:val="24"/>
                <w:szCs w:val="24"/>
                <w:highlight w:val="none"/>
                <w:shd w:val="clear" w:color="auto" w:fill="FFFFFF"/>
                <w:lang w:bidi="ar"/>
              </w:rPr>
            </w:pPr>
          </w:p>
        </w:tc>
        <w:tc>
          <w:tcPr>
            <w:tcW w:w="2266" w:type="dxa"/>
            <w:vAlign w:val="center"/>
          </w:tcPr>
          <w:p w14:paraId="4031CAED">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投标文件的格式及上传投标</w:t>
            </w:r>
          </w:p>
        </w:tc>
        <w:tc>
          <w:tcPr>
            <w:tcW w:w="5727" w:type="dxa"/>
            <w:vAlign w:val="center"/>
          </w:tcPr>
          <w:p w14:paraId="2DA42FBA">
            <w:pPr>
              <w:spacing w:line="400" w:lineRule="exact"/>
              <w:ind w:firstLine="458" w:firstLineChars="191"/>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投标供应商使用</w:t>
            </w:r>
            <w:r>
              <w:rPr>
                <w:rFonts w:ascii="Times New Roman" w:hAnsi="Times New Roman"/>
                <w:color w:val="auto"/>
                <w:sz w:val="24"/>
                <w:szCs w:val="24"/>
                <w:highlight w:val="none"/>
                <w:shd w:val="clear" w:color="auto" w:fill="FFFFFF"/>
                <w:lang w:bidi="ar"/>
              </w:rPr>
              <w:t>CA</w:t>
            </w:r>
            <w:r>
              <w:rPr>
                <w:rFonts w:hint="eastAsia" w:ascii="Times New Roman" w:hAnsi="Times New Roman"/>
                <w:color w:val="auto"/>
                <w:sz w:val="24"/>
                <w:szCs w:val="24"/>
                <w:highlight w:val="none"/>
                <w:shd w:val="clear" w:color="auto" w:fill="FFFFFF"/>
                <w:lang w:bidi="ar"/>
              </w:rPr>
              <w:t>在电子平台上传电子投标文件，在投标截止时间前成功上传至三门峡市公共资源电子化交易系统。</w:t>
            </w:r>
          </w:p>
          <w:p w14:paraId="56297642">
            <w:pPr>
              <w:spacing w:line="400" w:lineRule="exact"/>
              <w:ind w:firstLine="458" w:firstLineChars="191"/>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电子化投标文件具体制作文件请点击</w:t>
            </w:r>
            <w:r>
              <w:rPr>
                <w:rFonts w:ascii="Times New Roman" w:hAnsi="Times New Roman"/>
                <w:color w:val="auto"/>
                <w:sz w:val="24"/>
                <w:szCs w:val="24"/>
                <w:highlight w:val="none"/>
                <w:shd w:val="clear" w:color="auto" w:fill="FFFFFF"/>
                <w:lang w:bidi="ar"/>
              </w:rPr>
              <w:t>https</w:t>
            </w:r>
            <w:r>
              <w:rPr>
                <w:rFonts w:hint="eastAsia" w:ascii="Times New Roman" w:hAnsi="Times New Roman"/>
                <w:color w:val="auto"/>
                <w:sz w:val="24"/>
                <w:szCs w:val="24"/>
                <w:highlight w:val="none"/>
                <w:shd w:val="clear" w:color="auto" w:fill="FFFFFF"/>
                <w:lang w:bidi="ar"/>
              </w:rPr>
              <w:t>:</w:t>
            </w:r>
            <w:r>
              <w:rPr>
                <w:rFonts w:ascii="Times New Roman" w:hAnsi="Times New Roman"/>
                <w:color w:val="auto"/>
                <w:sz w:val="24"/>
                <w:szCs w:val="24"/>
                <w:highlight w:val="none"/>
                <w:shd w:val="clear" w:color="auto" w:fill="FFFFFF"/>
                <w:lang w:bidi="ar"/>
              </w:rPr>
              <w:t>//download.bqpoint.com/download/downloaddetail.html?SourceFrom=Ztb&amp;ZtbSoftXiaQuCode=1506&amp;ZtbSoftType=tballinclusive</w:t>
            </w:r>
            <w:r>
              <w:rPr>
                <w:rFonts w:hint="eastAsia" w:ascii="Times New Roman" w:hAnsi="Times New Roman"/>
                <w:color w:val="auto"/>
                <w:sz w:val="24"/>
                <w:szCs w:val="24"/>
                <w:highlight w:val="none"/>
                <w:shd w:val="clear" w:color="auto" w:fill="FFFFFF"/>
                <w:lang w:bidi="ar"/>
              </w:rPr>
              <w:t>进行下载。</w:t>
            </w:r>
          </w:p>
        </w:tc>
      </w:tr>
      <w:tr w14:paraId="531AE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665" w:type="dxa"/>
            <w:vAlign w:val="center"/>
          </w:tcPr>
          <w:p w14:paraId="2E579F87">
            <w:pPr>
              <w:numPr>
                <w:ilvl w:val="0"/>
                <w:numId w:val="1"/>
              </w:numPr>
              <w:spacing w:line="400" w:lineRule="exact"/>
              <w:jc w:val="center"/>
              <w:rPr>
                <w:rFonts w:ascii="Times New Roman" w:hAnsi="Times New Roman"/>
                <w:color w:val="auto"/>
                <w:sz w:val="24"/>
                <w:szCs w:val="24"/>
                <w:highlight w:val="none"/>
                <w:shd w:val="clear" w:color="auto" w:fill="FFFFFF"/>
                <w:lang w:bidi="ar"/>
              </w:rPr>
            </w:pPr>
          </w:p>
        </w:tc>
        <w:tc>
          <w:tcPr>
            <w:tcW w:w="2266" w:type="dxa"/>
            <w:vAlign w:val="center"/>
          </w:tcPr>
          <w:p w14:paraId="6D9BE7E5">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递交投标文件地点和截止时间</w:t>
            </w:r>
          </w:p>
        </w:tc>
        <w:tc>
          <w:tcPr>
            <w:tcW w:w="5727" w:type="dxa"/>
            <w:vAlign w:val="center"/>
          </w:tcPr>
          <w:p w14:paraId="5F566A61">
            <w:pPr>
              <w:spacing w:line="400" w:lineRule="exac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时间：2025年09月16日08时30分（北京时间）</w:t>
            </w:r>
          </w:p>
          <w:p w14:paraId="0DDC716E">
            <w:pPr>
              <w:spacing w:line="400" w:lineRule="exac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地点：上传至三门峡市公共资源交易中心电子化交易平台。</w:t>
            </w:r>
          </w:p>
        </w:tc>
      </w:tr>
      <w:tr w14:paraId="1394C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665" w:type="dxa"/>
            <w:vAlign w:val="center"/>
          </w:tcPr>
          <w:p w14:paraId="254034AA">
            <w:pPr>
              <w:numPr>
                <w:ilvl w:val="0"/>
                <w:numId w:val="1"/>
              </w:numPr>
              <w:spacing w:line="400" w:lineRule="exact"/>
              <w:jc w:val="center"/>
              <w:rPr>
                <w:rFonts w:ascii="Times New Roman" w:hAnsi="Times New Roman"/>
                <w:color w:val="auto"/>
                <w:sz w:val="24"/>
                <w:szCs w:val="24"/>
                <w:highlight w:val="none"/>
                <w:shd w:val="clear" w:color="auto" w:fill="FFFFFF"/>
                <w:lang w:bidi="ar"/>
              </w:rPr>
            </w:pPr>
          </w:p>
        </w:tc>
        <w:tc>
          <w:tcPr>
            <w:tcW w:w="2266" w:type="dxa"/>
            <w:vAlign w:val="center"/>
          </w:tcPr>
          <w:p w14:paraId="7BBD637D">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是否退还投标文件</w:t>
            </w:r>
          </w:p>
        </w:tc>
        <w:tc>
          <w:tcPr>
            <w:tcW w:w="5727" w:type="dxa"/>
            <w:vAlign w:val="center"/>
          </w:tcPr>
          <w:p w14:paraId="7187E15A">
            <w:pPr>
              <w:spacing w:line="400" w:lineRule="exac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■否</w:t>
            </w:r>
          </w:p>
        </w:tc>
      </w:tr>
      <w:tr w14:paraId="500ED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665" w:type="dxa"/>
            <w:vAlign w:val="center"/>
          </w:tcPr>
          <w:p w14:paraId="17024EEF">
            <w:pPr>
              <w:numPr>
                <w:ilvl w:val="0"/>
                <w:numId w:val="1"/>
              </w:numPr>
              <w:spacing w:line="400" w:lineRule="exact"/>
              <w:jc w:val="center"/>
              <w:rPr>
                <w:rFonts w:ascii="Times New Roman" w:hAnsi="Times New Roman"/>
                <w:color w:val="auto"/>
                <w:sz w:val="24"/>
                <w:szCs w:val="24"/>
                <w:highlight w:val="none"/>
                <w:shd w:val="clear" w:color="auto" w:fill="FFFFFF"/>
                <w:lang w:bidi="ar"/>
              </w:rPr>
            </w:pPr>
          </w:p>
        </w:tc>
        <w:tc>
          <w:tcPr>
            <w:tcW w:w="2266" w:type="dxa"/>
            <w:vAlign w:val="center"/>
          </w:tcPr>
          <w:p w14:paraId="5B318D56">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开标时间和地点</w:t>
            </w:r>
          </w:p>
        </w:tc>
        <w:tc>
          <w:tcPr>
            <w:tcW w:w="5727" w:type="dxa"/>
          </w:tcPr>
          <w:p w14:paraId="6FFB3C27">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时间：2025年09月16日08时30分（北京时间）</w:t>
            </w:r>
            <w:r>
              <w:rPr>
                <w:rFonts w:ascii="Times New Roman" w:hAnsi="Times New Roman"/>
                <w:color w:val="auto"/>
                <w:sz w:val="24"/>
                <w:szCs w:val="24"/>
                <w:highlight w:val="none"/>
                <w:shd w:val="clear" w:color="auto" w:fill="FFFFFF"/>
                <w:lang w:bidi="ar"/>
              </w:rPr>
              <w:tab/>
            </w:r>
          </w:p>
          <w:p w14:paraId="4BC4BA50">
            <w:pPr>
              <w:pStyle w:val="10"/>
              <w:widowControl/>
              <w:wordWrap w:val="0"/>
              <w:spacing w:line="400" w:lineRule="exact"/>
              <w:rPr>
                <w:rFonts w:ascii="Times New Roman" w:hAnsi="Times New Roman"/>
                <w:color w:val="auto"/>
                <w:szCs w:val="24"/>
                <w:highlight w:val="none"/>
                <w:shd w:val="clear" w:color="auto" w:fill="FFFFFF"/>
              </w:rPr>
            </w:pPr>
            <w:r>
              <w:rPr>
                <w:rFonts w:hint="eastAsia" w:ascii="Times New Roman" w:hAnsi="Times New Roman"/>
                <w:color w:val="auto"/>
                <w:kern w:val="2"/>
                <w:szCs w:val="24"/>
                <w:highlight w:val="none"/>
                <w:shd w:val="clear" w:color="auto" w:fill="FFFFFF"/>
                <w:lang w:bidi="ar"/>
              </w:rPr>
              <w:t>地点：灵宝市公共资源交易中心</w:t>
            </w:r>
            <w:r>
              <w:rPr>
                <w:rFonts w:hint="eastAsia" w:ascii="Times New Roman" w:hAnsi="Times New Roman"/>
                <w:color w:val="auto"/>
                <w:kern w:val="2"/>
                <w:szCs w:val="24"/>
                <w:highlight w:val="none"/>
                <w:shd w:val="clear" w:color="auto" w:fill="FFFFFF"/>
                <w:lang w:eastAsia="zh-CN" w:bidi="ar"/>
              </w:rPr>
              <w:t>开标二室、评标二室</w:t>
            </w:r>
            <w:r>
              <w:rPr>
                <w:rFonts w:hint="eastAsia" w:ascii="Times New Roman" w:hAnsi="Times New Roman"/>
                <w:color w:val="auto"/>
                <w:kern w:val="2"/>
                <w:szCs w:val="24"/>
                <w:highlight w:val="none"/>
                <w:shd w:val="clear" w:color="auto" w:fill="FFFFFF"/>
                <w:lang w:bidi="ar"/>
              </w:rPr>
              <w:t>（灵宝市信用合作联社</w:t>
            </w:r>
            <w:r>
              <w:rPr>
                <w:rFonts w:ascii="Times New Roman" w:hAnsi="Times New Roman"/>
                <w:color w:val="auto"/>
                <w:kern w:val="2"/>
                <w:szCs w:val="24"/>
                <w:highlight w:val="none"/>
                <w:shd w:val="clear" w:color="auto" w:fill="FFFFFF"/>
                <w:lang w:bidi="ar"/>
              </w:rPr>
              <w:t xml:space="preserve"> 12 </w:t>
            </w:r>
            <w:r>
              <w:rPr>
                <w:rFonts w:hint="eastAsia" w:ascii="Times New Roman" w:hAnsi="Times New Roman"/>
                <w:color w:val="auto"/>
                <w:kern w:val="2"/>
                <w:szCs w:val="24"/>
                <w:highlight w:val="none"/>
                <w:shd w:val="clear" w:color="auto" w:fill="FFFFFF"/>
                <w:lang w:bidi="ar"/>
              </w:rPr>
              <w:t>楼）</w:t>
            </w:r>
          </w:p>
        </w:tc>
      </w:tr>
      <w:tr w14:paraId="30EEE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665" w:type="dxa"/>
            <w:vAlign w:val="center"/>
          </w:tcPr>
          <w:p w14:paraId="11924387">
            <w:pPr>
              <w:numPr>
                <w:ilvl w:val="0"/>
                <w:numId w:val="1"/>
              </w:numPr>
              <w:spacing w:line="400" w:lineRule="exact"/>
              <w:jc w:val="center"/>
              <w:rPr>
                <w:rFonts w:ascii="Times New Roman" w:hAnsi="Times New Roman"/>
                <w:color w:val="auto"/>
                <w:sz w:val="24"/>
                <w:szCs w:val="24"/>
                <w:highlight w:val="none"/>
                <w:shd w:val="clear" w:color="auto" w:fill="FFFFFF"/>
                <w:lang w:bidi="ar"/>
              </w:rPr>
            </w:pPr>
          </w:p>
        </w:tc>
        <w:tc>
          <w:tcPr>
            <w:tcW w:w="2266" w:type="dxa"/>
            <w:vAlign w:val="center"/>
          </w:tcPr>
          <w:p w14:paraId="48331252">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开标程序</w:t>
            </w:r>
          </w:p>
        </w:tc>
        <w:tc>
          <w:tcPr>
            <w:tcW w:w="5727" w:type="dxa"/>
          </w:tcPr>
          <w:p w14:paraId="4163B138">
            <w:pPr>
              <w:spacing w:line="400" w:lineRule="exact"/>
              <w:ind w:firstLine="480" w:firstLineChars="200"/>
              <w:jc w:val="left"/>
              <w:rPr>
                <w:rFonts w:ascii="Times New Roman" w:hAnsi="Times New Roman"/>
                <w:color w:val="auto"/>
                <w:sz w:val="24"/>
                <w:szCs w:val="24"/>
                <w:highlight w:val="none"/>
                <w:shd w:val="clear" w:color="auto" w:fill="FFFFFF"/>
                <w:lang w:bidi="ar"/>
              </w:rPr>
            </w:pPr>
            <w:r>
              <w:rPr>
                <w:rFonts w:ascii="Times New Roman" w:hAnsi="Times New Roman"/>
                <w:color w:val="auto"/>
                <w:sz w:val="24"/>
                <w:szCs w:val="24"/>
                <w:highlight w:val="none"/>
                <w:shd w:val="clear" w:color="auto" w:fill="FFFFFF"/>
                <w:lang w:bidi="ar"/>
              </w:rPr>
              <w:t>1</w:t>
            </w:r>
            <w:r>
              <w:rPr>
                <w:rFonts w:hint="eastAsia" w:ascii="Times New Roman" w:hAnsi="Times New Roman"/>
                <w:color w:val="auto"/>
                <w:sz w:val="24"/>
                <w:szCs w:val="24"/>
                <w:highlight w:val="none"/>
                <w:shd w:val="clear" w:color="auto" w:fill="FFFFFF"/>
                <w:lang w:bidi="ar"/>
              </w:rPr>
              <w:t>、本项目采用电子开评标系统，投标人应当在开标时间前，登录到三门峡市公共资源电子招投标交易平台→点击进入“不见面开标大厅”→找到相应的项目→在线准时参加开标活动。</w:t>
            </w:r>
          </w:p>
          <w:p w14:paraId="0A384129">
            <w:pPr>
              <w:spacing w:line="400" w:lineRule="exact"/>
              <w:ind w:firstLine="480" w:firstLineChars="200"/>
              <w:jc w:val="left"/>
              <w:rPr>
                <w:rFonts w:ascii="Times New Roman" w:hAnsi="Times New Roman"/>
                <w:color w:val="auto"/>
                <w:sz w:val="24"/>
                <w:szCs w:val="24"/>
                <w:highlight w:val="none"/>
                <w:shd w:val="clear" w:color="auto" w:fill="FFFFFF"/>
                <w:lang w:bidi="ar"/>
              </w:rPr>
            </w:pPr>
            <w:r>
              <w:rPr>
                <w:rFonts w:ascii="Times New Roman" w:hAnsi="Times New Roman"/>
                <w:color w:val="auto"/>
                <w:sz w:val="24"/>
                <w:szCs w:val="24"/>
                <w:highlight w:val="none"/>
                <w:shd w:val="clear" w:color="auto" w:fill="FFFFFF"/>
                <w:lang w:bidi="ar"/>
              </w:rPr>
              <w:t>2</w:t>
            </w:r>
            <w:r>
              <w:rPr>
                <w:rFonts w:hint="eastAsia" w:ascii="Times New Roman" w:hAnsi="Times New Roman"/>
                <w:color w:val="auto"/>
                <w:sz w:val="24"/>
                <w:szCs w:val="24"/>
                <w:highlight w:val="none"/>
                <w:shd w:val="clear" w:color="auto" w:fill="FFFFFF"/>
                <w:lang w:bidi="ar"/>
              </w:rPr>
              <w:t>、公布在投标截止时间前提交投标文件的供应商名单；</w:t>
            </w:r>
          </w:p>
          <w:p w14:paraId="24A67ABC">
            <w:pPr>
              <w:spacing w:line="400" w:lineRule="exact"/>
              <w:ind w:firstLine="480" w:firstLineChars="200"/>
              <w:jc w:val="left"/>
              <w:rPr>
                <w:rFonts w:ascii="Times New Roman" w:hAnsi="Times New Roman"/>
                <w:color w:val="auto"/>
                <w:sz w:val="24"/>
                <w:szCs w:val="24"/>
                <w:highlight w:val="none"/>
                <w:shd w:val="clear" w:color="auto" w:fill="FFFFFF"/>
                <w:lang w:bidi="ar"/>
              </w:rPr>
            </w:pPr>
            <w:r>
              <w:rPr>
                <w:rFonts w:ascii="Times New Roman" w:hAnsi="Times New Roman"/>
                <w:color w:val="auto"/>
                <w:sz w:val="24"/>
                <w:szCs w:val="24"/>
                <w:highlight w:val="none"/>
                <w:shd w:val="clear" w:color="auto" w:fill="FFFFFF"/>
                <w:lang w:bidi="ar"/>
              </w:rPr>
              <w:t>3</w:t>
            </w:r>
            <w:r>
              <w:rPr>
                <w:rFonts w:hint="eastAsia" w:ascii="Times New Roman" w:hAnsi="Times New Roman"/>
                <w:color w:val="auto"/>
                <w:sz w:val="24"/>
                <w:szCs w:val="24"/>
                <w:highlight w:val="none"/>
                <w:shd w:val="clear" w:color="auto" w:fill="FFFFFF"/>
                <w:lang w:bidi="ar"/>
              </w:rPr>
              <w:t>、投标人通过电子招标投标交易平台对已递交的电子投标文件进行解密；</w:t>
            </w:r>
          </w:p>
          <w:p w14:paraId="4D5F851B">
            <w:pPr>
              <w:spacing w:line="400" w:lineRule="exact"/>
              <w:ind w:firstLine="480" w:firstLineChars="200"/>
              <w:jc w:val="left"/>
              <w:rPr>
                <w:rFonts w:ascii="Times New Roman" w:hAnsi="Times New Roman"/>
                <w:color w:val="auto"/>
                <w:sz w:val="24"/>
                <w:szCs w:val="24"/>
                <w:highlight w:val="none"/>
                <w:shd w:val="clear" w:color="auto" w:fill="FFFFFF"/>
                <w:lang w:bidi="ar"/>
              </w:rPr>
            </w:pPr>
            <w:r>
              <w:rPr>
                <w:rFonts w:ascii="Times New Roman" w:hAnsi="Times New Roman"/>
                <w:color w:val="auto"/>
                <w:sz w:val="24"/>
                <w:szCs w:val="24"/>
                <w:highlight w:val="none"/>
                <w:shd w:val="clear" w:color="auto" w:fill="FFFFFF"/>
                <w:lang w:bidi="ar"/>
              </w:rPr>
              <w:t>4</w:t>
            </w:r>
            <w:r>
              <w:rPr>
                <w:rFonts w:hint="eastAsia" w:ascii="Times New Roman" w:hAnsi="Times New Roman"/>
                <w:color w:val="auto"/>
                <w:sz w:val="24"/>
                <w:szCs w:val="24"/>
                <w:highlight w:val="none"/>
                <w:shd w:val="clear" w:color="auto" w:fill="FFFFFF"/>
                <w:lang w:bidi="ar"/>
              </w:rPr>
              <w:t>、系统导入电子投标文件；</w:t>
            </w:r>
          </w:p>
          <w:p w14:paraId="342734AD">
            <w:pPr>
              <w:spacing w:line="400" w:lineRule="exact"/>
              <w:ind w:firstLine="480" w:firstLineChars="200"/>
              <w:jc w:val="left"/>
              <w:rPr>
                <w:rFonts w:ascii="Times New Roman" w:hAnsi="Times New Roman"/>
                <w:color w:val="auto"/>
                <w:sz w:val="24"/>
                <w:szCs w:val="24"/>
                <w:highlight w:val="none"/>
                <w:shd w:val="clear" w:color="auto" w:fill="FFFFFF"/>
                <w:lang w:bidi="ar"/>
              </w:rPr>
            </w:pPr>
            <w:r>
              <w:rPr>
                <w:rFonts w:ascii="Times New Roman" w:hAnsi="Times New Roman"/>
                <w:color w:val="auto"/>
                <w:sz w:val="24"/>
                <w:szCs w:val="24"/>
                <w:highlight w:val="none"/>
                <w:shd w:val="clear" w:color="auto" w:fill="FFFFFF"/>
                <w:lang w:bidi="ar"/>
              </w:rPr>
              <w:t>5</w:t>
            </w:r>
            <w:r>
              <w:rPr>
                <w:rFonts w:hint="eastAsia" w:ascii="Times New Roman" w:hAnsi="Times New Roman"/>
                <w:color w:val="auto"/>
                <w:sz w:val="24"/>
                <w:szCs w:val="24"/>
                <w:highlight w:val="none"/>
                <w:shd w:val="clear" w:color="auto" w:fill="FFFFFF"/>
                <w:lang w:bidi="ar"/>
              </w:rPr>
              <w:t>、采购人或采购代理机构将通过“电子开标系统”按照顺序公布供应商名称、投标报价和招标文件规定的需要公布的其他内容；</w:t>
            </w:r>
          </w:p>
          <w:p w14:paraId="65B0741F">
            <w:pPr>
              <w:spacing w:line="400" w:lineRule="exact"/>
              <w:ind w:firstLine="480" w:firstLineChars="200"/>
              <w:jc w:val="left"/>
              <w:rPr>
                <w:rFonts w:ascii="Times New Roman" w:hAnsi="Times New Roman"/>
                <w:color w:val="auto"/>
                <w:sz w:val="24"/>
                <w:szCs w:val="24"/>
                <w:highlight w:val="none"/>
                <w:shd w:val="clear" w:color="auto" w:fill="FFFFFF"/>
                <w:lang w:bidi="ar"/>
              </w:rPr>
            </w:pPr>
            <w:r>
              <w:rPr>
                <w:rFonts w:ascii="Times New Roman" w:hAnsi="Times New Roman"/>
                <w:color w:val="auto"/>
                <w:sz w:val="24"/>
                <w:szCs w:val="24"/>
                <w:highlight w:val="none"/>
                <w:shd w:val="clear" w:color="auto" w:fill="FFFFFF"/>
                <w:lang w:bidi="ar"/>
              </w:rPr>
              <w:t>6</w:t>
            </w:r>
            <w:r>
              <w:rPr>
                <w:rFonts w:hint="eastAsia" w:ascii="Times New Roman" w:hAnsi="Times New Roman"/>
                <w:color w:val="auto"/>
                <w:sz w:val="24"/>
                <w:szCs w:val="24"/>
                <w:highlight w:val="none"/>
                <w:shd w:val="clear" w:color="auto" w:fill="FFFFFF"/>
                <w:lang w:bidi="ar"/>
              </w:rPr>
              <w:t>、投标人代表对开标过程和开标记录有无异议：投标人如有异议，须按要求在规定时间内通过系统提出，由监督人代表现场核查并及时处理；否则视为该投标人认可开标过程及开标记录；投标人未参加开标的，视为认可开标结果。</w:t>
            </w:r>
          </w:p>
          <w:p w14:paraId="7A22B49F">
            <w:pPr>
              <w:spacing w:line="400" w:lineRule="exact"/>
              <w:ind w:firstLine="480" w:firstLineChars="200"/>
              <w:jc w:val="left"/>
              <w:rPr>
                <w:rFonts w:ascii="Times New Roman" w:hAnsi="Times New Roman"/>
                <w:color w:val="auto"/>
                <w:sz w:val="24"/>
                <w:szCs w:val="24"/>
                <w:highlight w:val="none"/>
                <w:shd w:val="clear" w:color="auto" w:fill="FFFFFF"/>
                <w:lang w:bidi="ar"/>
              </w:rPr>
            </w:pPr>
            <w:r>
              <w:rPr>
                <w:rFonts w:ascii="Times New Roman" w:hAnsi="Times New Roman"/>
                <w:color w:val="auto"/>
                <w:sz w:val="24"/>
                <w:szCs w:val="24"/>
                <w:highlight w:val="none"/>
                <w:shd w:val="clear" w:color="auto" w:fill="FFFFFF"/>
                <w:lang w:bidi="ar"/>
              </w:rPr>
              <w:t>7</w:t>
            </w:r>
            <w:r>
              <w:rPr>
                <w:rFonts w:hint="eastAsia" w:ascii="Times New Roman" w:hAnsi="Times New Roman"/>
                <w:color w:val="auto"/>
                <w:sz w:val="24"/>
                <w:szCs w:val="24"/>
                <w:highlight w:val="none"/>
                <w:shd w:val="clear" w:color="auto" w:fill="FFFFFF"/>
                <w:lang w:bidi="ar"/>
              </w:rPr>
              <w:t>、开标结束。</w:t>
            </w:r>
          </w:p>
          <w:p w14:paraId="7B465BFE">
            <w:pPr>
              <w:spacing w:line="400" w:lineRule="exact"/>
              <w:ind w:firstLine="482" w:firstLineChars="200"/>
              <w:jc w:val="left"/>
              <w:rPr>
                <w:rFonts w:ascii="Times New Roman" w:hAnsi="Times New Roman"/>
                <w:b/>
                <w:bCs/>
                <w:color w:val="auto"/>
                <w:sz w:val="24"/>
                <w:szCs w:val="24"/>
                <w:highlight w:val="none"/>
                <w:shd w:val="clear" w:color="auto" w:fill="FFFFFF"/>
                <w:lang w:bidi="ar"/>
              </w:rPr>
            </w:pPr>
            <w:r>
              <w:rPr>
                <w:rFonts w:hint="eastAsia" w:ascii="Times New Roman" w:hAnsi="Times New Roman"/>
                <w:b/>
                <w:bCs/>
                <w:color w:val="auto"/>
                <w:sz w:val="24"/>
                <w:szCs w:val="24"/>
                <w:highlight w:val="none"/>
                <w:shd w:val="clear" w:color="auto" w:fill="FFFFFF"/>
                <w:lang w:bidi="ar"/>
              </w:rPr>
              <w:t>注：</w:t>
            </w:r>
            <w:r>
              <w:rPr>
                <w:rFonts w:ascii="Times New Roman" w:hAnsi="Times New Roman"/>
                <w:b/>
                <w:bCs/>
                <w:color w:val="auto"/>
                <w:sz w:val="24"/>
                <w:szCs w:val="24"/>
                <w:highlight w:val="none"/>
                <w:shd w:val="clear" w:color="auto" w:fill="FFFFFF"/>
                <w:lang w:bidi="ar"/>
              </w:rPr>
              <w:t>1.</w:t>
            </w:r>
            <w:r>
              <w:rPr>
                <w:rFonts w:hint="eastAsia" w:ascii="Times New Roman" w:hAnsi="Times New Roman"/>
                <w:b/>
                <w:bCs/>
                <w:color w:val="auto"/>
                <w:sz w:val="24"/>
                <w:szCs w:val="24"/>
                <w:highlight w:val="none"/>
                <w:shd w:val="clear" w:color="auto" w:fill="FFFFFF"/>
                <w:lang w:bidi="ar"/>
              </w:rPr>
              <w:t>本项目采用电子化、无纸化进行招标，开标当日，投标供应商无需到开标现场参加开标会议，投标供应商应当在投标截止时间前，登录三门峡市公共资源交易中心电子交易平台，</w:t>
            </w:r>
            <w:r>
              <w:rPr>
                <w:rFonts w:hint="eastAsia" w:ascii="Times New Roman" w:hAnsi="Times New Roman"/>
                <w:b/>
                <w:color w:val="auto"/>
                <w:sz w:val="24"/>
                <w:highlight w:val="none"/>
              </w:rPr>
              <w:t>点击【不见面开标大厅】按钮进入，在线准时参加开标活动并进行投标文件解密等。或者直接</w:t>
            </w:r>
            <w:r>
              <w:rPr>
                <w:rFonts w:hint="eastAsia" w:ascii="Times New Roman" w:hAnsi="Times New Roman"/>
                <w:b/>
                <w:bCs/>
                <w:color w:val="auto"/>
                <w:sz w:val="24"/>
                <w:szCs w:val="24"/>
                <w:highlight w:val="none"/>
                <w:shd w:val="clear" w:color="auto" w:fill="FFFFFF"/>
                <w:lang w:bidi="ar"/>
              </w:rPr>
              <w:t>登陆不见面开标大厅选择登陆三门峡市公共资源电子招投标系统进行登陆（网址为</w:t>
            </w:r>
            <w:r>
              <w:rPr>
                <w:rFonts w:ascii="Times New Roman" w:hAnsi="Times New Roman"/>
                <w:b/>
                <w:bCs/>
                <w:color w:val="auto"/>
                <w:sz w:val="24"/>
                <w:szCs w:val="24"/>
                <w:highlight w:val="none"/>
                <w:shd w:val="clear" w:color="auto" w:fill="FFFFFF"/>
                <w:lang w:bidi="ar"/>
              </w:rPr>
              <w:t>http</w:t>
            </w:r>
            <w:r>
              <w:rPr>
                <w:rFonts w:hint="eastAsia" w:ascii="Times New Roman" w:hAnsi="Times New Roman"/>
                <w:b/>
                <w:bCs/>
                <w:color w:val="auto"/>
                <w:sz w:val="24"/>
                <w:szCs w:val="24"/>
                <w:highlight w:val="none"/>
                <w:shd w:val="clear" w:color="auto" w:fill="FFFFFF"/>
                <w:lang w:bidi="ar"/>
              </w:rPr>
              <w:t>:</w:t>
            </w:r>
            <w:r>
              <w:rPr>
                <w:rFonts w:ascii="Times New Roman" w:hAnsi="Times New Roman"/>
                <w:b/>
                <w:bCs/>
                <w:color w:val="auto"/>
                <w:sz w:val="24"/>
                <w:szCs w:val="24"/>
                <w:highlight w:val="none"/>
                <w:shd w:val="clear" w:color="auto" w:fill="FFFFFF"/>
                <w:lang w:bidi="ar"/>
              </w:rPr>
              <w:t>//120.194.249.36</w:t>
            </w:r>
            <w:r>
              <w:rPr>
                <w:rFonts w:hint="eastAsia" w:ascii="Times New Roman" w:hAnsi="Times New Roman"/>
                <w:b/>
                <w:bCs/>
                <w:color w:val="auto"/>
                <w:sz w:val="24"/>
                <w:szCs w:val="24"/>
                <w:highlight w:val="none"/>
                <w:shd w:val="clear" w:color="auto" w:fill="FFFFFF"/>
                <w:lang w:bidi="ar"/>
              </w:rPr>
              <w:t>:</w:t>
            </w:r>
            <w:r>
              <w:rPr>
                <w:rFonts w:ascii="Times New Roman" w:hAnsi="Times New Roman"/>
                <w:b/>
                <w:bCs/>
                <w:color w:val="auto"/>
                <w:sz w:val="24"/>
                <w:szCs w:val="24"/>
                <w:highlight w:val="none"/>
                <w:shd w:val="clear" w:color="auto" w:fill="FFFFFF"/>
                <w:lang w:bidi="ar"/>
              </w:rPr>
              <w:t>10094/BidOpening/bidopeninghallaction/hall/login</w:t>
            </w:r>
            <w:r>
              <w:rPr>
                <w:rFonts w:hint="eastAsia" w:ascii="Times New Roman" w:hAnsi="Times New Roman"/>
                <w:b/>
                <w:bCs/>
                <w:color w:val="auto"/>
                <w:sz w:val="24"/>
                <w:szCs w:val="24"/>
                <w:highlight w:val="none"/>
                <w:shd w:val="clear" w:color="auto" w:fill="FFFFFF"/>
                <w:lang w:bidi="ar"/>
              </w:rPr>
              <w:t>）</w:t>
            </w:r>
            <w:r>
              <w:rPr>
                <w:rFonts w:ascii="Times New Roman" w:hAnsi="Times New Roman"/>
                <w:b/>
                <w:bCs/>
                <w:color w:val="auto"/>
                <w:sz w:val="24"/>
                <w:szCs w:val="24"/>
                <w:highlight w:val="none"/>
                <w:shd w:val="clear" w:color="auto" w:fill="FFFFFF"/>
                <w:lang w:bidi="ar"/>
              </w:rPr>
              <w:t>,</w:t>
            </w:r>
            <w:r>
              <w:rPr>
                <w:rFonts w:hint="eastAsia" w:ascii="Times New Roman" w:hAnsi="Times New Roman"/>
                <w:b/>
                <w:bCs/>
                <w:color w:val="auto"/>
                <w:sz w:val="24"/>
                <w:szCs w:val="24"/>
                <w:highlight w:val="none"/>
                <w:shd w:val="clear" w:color="auto" w:fill="FFFFFF"/>
                <w:lang w:bidi="ar"/>
              </w:rPr>
              <w:t>在线准时参加开标活动并进行投标文件解密等。</w:t>
            </w:r>
          </w:p>
          <w:p w14:paraId="7C98C877">
            <w:pPr>
              <w:spacing w:line="400" w:lineRule="exact"/>
              <w:ind w:firstLine="482" w:firstLineChars="200"/>
              <w:jc w:val="left"/>
              <w:rPr>
                <w:rFonts w:ascii="Times New Roman" w:hAnsi="Times New Roman"/>
                <w:color w:val="auto"/>
                <w:sz w:val="24"/>
                <w:szCs w:val="24"/>
                <w:highlight w:val="none"/>
                <w:shd w:val="clear" w:color="auto" w:fill="FFFFFF"/>
                <w:lang w:bidi="ar"/>
              </w:rPr>
            </w:pPr>
            <w:r>
              <w:rPr>
                <w:rFonts w:ascii="Times New Roman" w:hAnsi="Times New Roman"/>
                <w:b/>
                <w:bCs/>
                <w:color w:val="auto"/>
                <w:sz w:val="24"/>
                <w:szCs w:val="24"/>
                <w:highlight w:val="none"/>
                <w:shd w:val="clear" w:color="auto" w:fill="FFFFFF"/>
                <w:lang w:bidi="ar"/>
              </w:rPr>
              <w:t>2.</w:t>
            </w:r>
            <w:r>
              <w:rPr>
                <w:rFonts w:hint="eastAsia" w:ascii="Times New Roman" w:hAnsi="Times New Roman"/>
                <w:b/>
                <w:bCs/>
                <w:color w:val="auto"/>
                <w:sz w:val="24"/>
                <w:szCs w:val="24"/>
                <w:highlight w:val="none"/>
                <w:shd w:val="clear" w:color="auto" w:fill="FFFFFF"/>
                <w:lang w:bidi="ar"/>
              </w:rPr>
              <w:t>投标文件采用一次加密方式。开标时，由投标供应商使用</w:t>
            </w:r>
            <w:r>
              <w:rPr>
                <w:rFonts w:ascii="Times New Roman" w:hAnsi="Times New Roman"/>
                <w:b/>
                <w:bCs/>
                <w:color w:val="auto"/>
                <w:sz w:val="24"/>
                <w:szCs w:val="24"/>
                <w:highlight w:val="none"/>
                <w:shd w:val="clear" w:color="auto" w:fill="FFFFFF"/>
                <w:lang w:bidi="ar"/>
              </w:rPr>
              <w:t>CA</w:t>
            </w:r>
            <w:r>
              <w:rPr>
                <w:rFonts w:hint="eastAsia" w:ascii="Times New Roman" w:hAnsi="Times New Roman"/>
                <w:b/>
                <w:bCs/>
                <w:color w:val="auto"/>
                <w:sz w:val="24"/>
                <w:szCs w:val="24"/>
                <w:highlight w:val="none"/>
                <w:shd w:val="clear" w:color="auto" w:fill="FFFFFF"/>
                <w:lang w:bidi="ar"/>
              </w:rPr>
              <w:t>证书，在规定时间内对其电子化投标文件进行解密。每位投标供应商的解密时间为开标时间起</w:t>
            </w:r>
            <w:r>
              <w:rPr>
                <w:rFonts w:ascii="Times New Roman" w:hAnsi="Times New Roman"/>
                <w:b/>
                <w:bCs/>
                <w:color w:val="auto"/>
                <w:sz w:val="24"/>
                <w:szCs w:val="24"/>
                <w:highlight w:val="none"/>
                <w:shd w:val="clear" w:color="auto" w:fill="FFFFFF"/>
                <w:lang w:bidi="ar"/>
              </w:rPr>
              <w:t>30</w:t>
            </w:r>
            <w:r>
              <w:rPr>
                <w:rFonts w:hint="eastAsia" w:ascii="Times New Roman" w:hAnsi="Times New Roman"/>
                <w:b/>
                <w:bCs/>
                <w:color w:val="auto"/>
                <w:sz w:val="24"/>
                <w:szCs w:val="24"/>
                <w:highlight w:val="none"/>
                <w:shd w:val="clear" w:color="auto" w:fill="FFFFFF"/>
                <w:lang w:bidi="ar"/>
              </w:rPr>
              <w:t>分钟内，如在规定时间内未完成解密的，其投标文件不予开标、唱标。每位投标人的解密时间为开标时间起</w:t>
            </w:r>
            <w:r>
              <w:rPr>
                <w:rFonts w:ascii="Times New Roman" w:hAnsi="Times New Roman"/>
                <w:b/>
                <w:bCs/>
                <w:color w:val="auto"/>
                <w:sz w:val="24"/>
                <w:szCs w:val="24"/>
                <w:highlight w:val="none"/>
                <w:shd w:val="clear" w:color="auto" w:fill="FFFFFF"/>
                <w:lang w:bidi="ar"/>
              </w:rPr>
              <w:t>30</w:t>
            </w:r>
            <w:r>
              <w:rPr>
                <w:rFonts w:hint="eastAsia" w:ascii="Times New Roman" w:hAnsi="Times New Roman"/>
                <w:b/>
                <w:bCs/>
                <w:color w:val="auto"/>
                <w:sz w:val="24"/>
                <w:szCs w:val="24"/>
                <w:highlight w:val="none"/>
                <w:shd w:val="clear" w:color="auto" w:fill="FFFFFF"/>
                <w:lang w:bidi="ar"/>
              </w:rPr>
              <w:t>分钟内完成。</w:t>
            </w:r>
          </w:p>
        </w:tc>
      </w:tr>
      <w:tr w14:paraId="2A0CA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665" w:type="dxa"/>
            <w:vAlign w:val="center"/>
          </w:tcPr>
          <w:p w14:paraId="05212A50">
            <w:pPr>
              <w:numPr>
                <w:ilvl w:val="0"/>
                <w:numId w:val="1"/>
              </w:numPr>
              <w:spacing w:line="400" w:lineRule="exact"/>
              <w:jc w:val="center"/>
              <w:rPr>
                <w:rFonts w:ascii="Times New Roman" w:hAnsi="Times New Roman"/>
                <w:color w:val="auto"/>
                <w:sz w:val="24"/>
                <w:szCs w:val="24"/>
                <w:highlight w:val="none"/>
                <w:shd w:val="clear" w:color="auto" w:fill="FFFFFF"/>
                <w:lang w:bidi="ar"/>
              </w:rPr>
            </w:pPr>
          </w:p>
        </w:tc>
        <w:tc>
          <w:tcPr>
            <w:tcW w:w="2266" w:type="dxa"/>
            <w:vAlign w:val="center"/>
          </w:tcPr>
          <w:p w14:paraId="16397881">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评标委员会的组建</w:t>
            </w:r>
          </w:p>
        </w:tc>
        <w:tc>
          <w:tcPr>
            <w:tcW w:w="5727" w:type="dxa"/>
          </w:tcPr>
          <w:p w14:paraId="544B5982">
            <w:pPr>
              <w:snapToGrid w:val="0"/>
              <w:spacing w:line="500" w:lineRule="exact"/>
              <w:rPr>
                <w:rFonts w:ascii="Times New Roman" w:hAnsi="Times New Roman"/>
                <w:b/>
                <w:bCs/>
                <w:color w:val="auto"/>
                <w:sz w:val="24"/>
                <w:szCs w:val="24"/>
                <w:highlight w:val="none"/>
              </w:rPr>
            </w:pPr>
            <w:r>
              <w:rPr>
                <w:rFonts w:ascii="Times New Roman" w:hAnsi="Times New Roman"/>
                <w:b/>
                <w:bCs/>
                <w:color w:val="auto"/>
                <w:sz w:val="24"/>
                <w:szCs w:val="24"/>
                <w:highlight w:val="none"/>
              </w:rPr>
              <w:t>评标委员会的组建：</w:t>
            </w:r>
          </w:p>
          <w:p w14:paraId="1BAFBFFA">
            <w:pPr>
              <w:snapToGrid w:val="0"/>
              <w:spacing w:line="500" w:lineRule="exact"/>
              <w:rPr>
                <w:rFonts w:ascii="Times New Roman" w:hAnsi="Times New Roman"/>
                <w:color w:val="auto"/>
                <w:sz w:val="24"/>
                <w:szCs w:val="24"/>
                <w:highlight w:val="none"/>
              </w:rPr>
            </w:pPr>
            <w:r>
              <w:rPr>
                <w:rFonts w:hint="eastAsia" w:ascii="Times New Roman" w:hAnsi="Times New Roman"/>
                <w:color w:val="auto"/>
                <w:sz w:val="24"/>
                <w:szCs w:val="24"/>
                <w:highlight w:val="none"/>
              </w:rPr>
              <w:t>评标委员会构成：采购人代表和经济、技术专家共</w:t>
            </w:r>
            <w:r>
              <w:rPr>
                <w:rFonts w:ascii="Times New Roman" w:hAnsi="Times New Roman"/>
                <w:color w:val="auto"/>
                <w:sz w:val="24"/>
                <w:szCs w:val="24"/>
                <w:highlight w:val="none"/>
              </w:rPr>
              <w:t>5</w:t>
            </w:r>
            <w:r>
              <w:rPr>
                <w:rFonts w:hint="eastAsia" w:ascii="Times New Roman" w:hAnsi="Times New Roman"/>
                <w:color w:val="auto"/>
                <w:sz w:val="24"/>
                <w:szCs w:val="24"/>
                <w:highlight w:val="none"/>
              </w:rPr>
              <w:t>人组成，其中采购人代表</w:t>
            </w:r>
            <w:r>
              <w:rPr>
                <w:rFonts w:ascii="Times New Roman" w:hAnsi="Times New Roman"/>
                <w:color w:val="auto"/>
                <w:sz w:val="24"/>
                <w:szCs w:val="24"/>
                <w:highlight w:val="none"/>
              </w:rPr>
              <w:t>1</w:t>
            </w:r>
            <w:r>
              <w:rPr>
                <w:rFonts w:hint="eastAsia" w:ascii="Times New Roman" w:hAnsi="Times New Roman"/>
                <w:color w:val="auto"/>
                <w:sz w:val="24"/>
                <w:szCs w:val="24"/>
                <w:highlight w:val="none"/>
              </w:rPr>
              <w:t>人，经济、技术专家</w:t>
            </w:r>
            <w:r>
              <w:rPr>
                <w:rFonts w:ascii="Times New Roman" w:hAnsi="Times New Roman"/>
                <w:color w:val="auto"/>
                <w:sz w:val="24"/>
                <w:szCs w:val="24"/>
                <w:highlight w:val="none"/>
              </w:rPr>
              <w:t>4</w:t>
            </w:r>
            <w:r>
              <w:rPr>
                <w:rFonts w:hint="eastAsia" w:ascii="Times New Roman" w:hAnsi="Times New Roman"/>
                <w:color w:val="auto"/>
                <w:sz w:val="24"/>
                <w:szCs w:val="24"/>
                <w:highlight w:val="none"/>
              </w:rPr>
              <w:t>人。</w:t>
            </w:r>
          </w:p>
          <w:p w14:paraId="34F2ACDE">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rPr>
              <w:t>经济、技术专家确定方式：从财政部门建立的专家库中随机抽取。</w:t>
            </w:r>
          </w:p>
        </w:tc>
      </w:tr>
      <w:tr w14:paraId="41EEA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665" w:type="dxa"/>
            <w:vAlign w:val="center"/>
          </w:tcPr>
          <w:p w14:paraId="7712F163">
            <w:pPr>
              <w:numPr>
                <w:ilvl w:val="0"/>
                <w:numId w:val="1"/>
              </w:numPr>
              <w:spacing w:line="400" w:lineRule="exact"/>
              <w:jc w:val="center"/>
              <w:rPr>
                <w:rFonts w:ascii="Times New Roman" w:hAnsi="Times New Roman"/>
                <w:color w:val="auto"/>
                <w:sz w:val="24"/>
                <w:szCs w:val="24"/>
                <w:highlight w:val="none"/>
                <w:shd w:val="clear" w:color="auto" w:fill="FFFFFF"/>
                <w:lang w:bidi="ar"/>
              </w:rPr>
            </w:pPr>
          </w:p>
        </w:tc>
        <w:tc>
          <w:tcPr>
            <w:tcW w:w="2266" w:type="dxa"/>
            <w:vAlign w:val="center"/>
          </w:tcPr>
          <w:p w14:paraId="147A1068">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是否授权评标委员会确定中标供应商</w:t>
            </w:r>
          </w:p>
        </w:tc>
        <w:tc>
          <w:tcPr>
            <w:tcW w:w="5727" w:type="dxa"/>
            <w:vAlign w:val="center"/>
          </w:tcPr>
          <w:p w14:paraId="4B8142C4">
            <w:pPr>
              <w:spacing w:line="400" w:lineRule="exac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否，推荐</w:t>
            </w:r>
            <w:r>
              <w:rPr>
                <w:rFonts w:ascii="Times New Roman" w:hAnsi="Times New Roman"/>
                <w:color w:val="auto"/>
                <w:sz w:val="24"/>
                <w:szCs w:val="24"/>
                <w:highlight w:val="none"/>
                <w:shd w:val="clear" w:color="auto" w:fill="FFFFFF"/>
                <w:lang w:bidi="ar"/>
              </w:rPr>
              <w:t>3</w:t>
            </w:r>
            <w:r>
              <w:rPr>
                <w:rFonts w:hint="eastAsia" w:ascii="Times New Roman" w:hAnsi="Times New Roman"/>
                <w:color w:val="auto"/>
                <w:sz w:val="24"/>
                <w:szCs w:val="24"/>
                <w:highlight w:val="none"/>
                <w:shd w:val="clear" w:color="auto" w:fill="FFFFFF"/>
                <w:lang w:bidi="ar"/>
              </w:rPr>
              <w:t>名中标候选人。</w:t>
            </w:r>
          </w:p>
        </w:tc>
      </w:tr>
      <w:tr w14:paraId="1ABA8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665" w:type="dxa"/>
            <w:vAlign w:val="center"/>
          </w:tcPr>
          <w:p w14:paraId="6E494223">
            <w:pPr>
              <w:numPr>
                <w:ilvl w:val="0"/>
                <w:numId w:val="1"/>
              </w:numPr>
              <w:spacing w:line="400" w:lineRule="exact"/>
              <w:jc w:val="center"/>
              <w:rPr>
                <w:rFonts w:ascii="Times New Roman" w:hAnsi="Times New Roman"/>
                <w:color w:val="auto"/>
                <w:sz w:val="24"/>
                <w:szCs w:val="24"/>
                <w:highlight w:val="none"/>
                <w:shd w:val="clear" w:color="auto" w:fill="FFFFFF"/>
                <w:lang w:bidi="ar"/>
              </w:rPr>
            </w:pPr>
          </w:p>
        </w:tc>
        <w:tc>
          <w:tcPr>
            <w:tcW w:w="2266" w:type="dxa"/>
            <w:vAlign w:val="center"/>
          </w:tcPr>
          <w:p w14:paraId="775D1CA9">
            <w:pPr>
              <w:keepLines/>
              <w:spacing w:line="360" w:lineRule="auto"/>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rPr>
              <w:t>无效标条件</w:t>
            </w:r>
          </w:p>
        </w:tc>
        <w:tc>
          <w:tcPr>
            <w:tcW w:w="5727" w:type="dxa"/>
            <w:vAlign w:val="center"/>
          </w:tcPr>
          <w:p w14:paraId="5D5F6B38">
            <w:pPr>
              <w:spacing w:line="400" w:lineRule="exact"/>
              <w:rPr>
                <w:rFonts w:ascii="Times New Roman" w:hAnsi="Times New Roman"/>
                <w:color w:val="auto"/>
                <w:sz w:val="24"/>
                <w:szCs w:val="24"/>
                <w:highlight w:val="none"/>
              </w:rPr>
            </w:pPr>
            <w:r>
              <w:rPr>
                <w:rFonts w:ascii="Times New Roman" w:hAnsi="Times New Roman"/>
                <w:color w:val="auto"/>
                <w:sz w:val="24"/>
                <w:szCs w:val="24"/>
                <w:highlight w:val="none"/>
              </w:rPr>
              <w:t>1.</w:t>
            </w:r>
            <w:r>
              <w:rPr>
                <w:rFonts w:hint="eastAsia" w:ascii="Times New Roman" w:hAnsi="Times New Roman"/>
                <w:color w:val="auto"/>
                <w:sz w:val="24"/>
                <w:szCs w:val="24"/>
                <w:highlight w:val="none"/>
              </w:rPr>
              <w:t>电子化投标文件附有采购人不能接受的条件的；</w:t>
            </w:r>
          </w:p>
          <w:p w14:paraId="56199129">
            <w:pPr>
              <w:spacing w:line="400" w:lineRule="exact"/>
              <w:rPr>
                <w:rFonts w:ascii="Times New Roman" w:hAnsi="Times New Roman"/>
                <w:color w:val="auto"/>
                <w:sz w:val="24"/>
                <w:szCs w:val="24"/>
                <w:highlight w:val="none"/>
              </w:rPr>
            </w:pPr>
            <w:r>
              <w:rPr>
                <w:rFonts w:ascii="Times New Roman" w:hAnsi="Times New Roman"/>
                <w:color w:val="auto"/>
                <w:sz w:val="24"/>
                <w:szCs w:val="24"/>
                <w:highlight w:val="none"/>
              </w:rPr>
              <w:t>2.</w:t>
            </w:r>
            <w:r>
              <w:rPr>
                <w:rFonts w:hint="eastAsia" w:ascii="Times New Roman" w:hAnsi="Times New Roman"/>
                <w:color w:val="auto"/>
                <w:sz w:val="24"/>
                <w:szCs w:val="24"/>
                <w:highlight w:val="none"/>
              </w:rPr>
              <w:t>投标报价高于招标文件中投标最高限价的；</w:t>
            </w:r>
          </w:p>
          <w:p w14:paraId="356A3A99">
            <w:pPr>
              <w:spacing w:line="400" w:lineRule="exact"/>
              <w:rPr>
                <w:rFonts w:ascii="Times New Roman" w:hAnsi="Times New Roman"/>
                <w:color w:val="auto"/>
                <w:sz w:val="24"/>
                <w:szCs w:val="24"/>
                <w:highlight w:val="none"/>
              </w:rPr>
            </w:pPr>
            <w:r>
              <w:rPr>
                <w:rFonts w:ascii="Times New Roman" w:hAnsi="Times New Roman"/>
                <w:color w:val="auto"/>
                <w:sz w:val="24"/>
                <w:szCs w:val="24"/>
                <w:highlight w:val="none"/>
              </w:rPr>
              <w:t>3.</w:t>
            </w:r>
            <w:r>
              <w:rPr>
                <w:rFonts w:hint="eastAsia" w:ascii="Times New Roman" w:hAnsi="Times New Roman"/>
                <w:color w:val="auto"/>
                <w:sz w:val="24"/>
                <w:szCs w:val="24"/>
                <w:highlight w:val="none"/>
              </w:rPr>
              <w:t>以他人的名义投标、串通投标、以行贿手段谋取中标或者以其他弄虚作假方式投标的；</w:t>
            </w:r>
          </w:p>
          <w:p w14:paraId="05EAAE4F">
            <w:pPr>
              <w:spacing w:line="400" w:lineRule="exact"/>
              <w:rPr>
                <w:rFonts w:ascii="Times New Roman" w:hAnsi="Times New Roman"/>
                <w:color w:val="auto"/>
                <w:sz w:val="24"/>
                <w:szCs w:val="24"/>
                <w:highlight w:val="none"/>
                <w:shd w:val="clear" w:color="auto" w:fill="FFFFFF"/>
                <w:lang w:bidi="ar"/>
              </w:rPr>
            </w:pPr>
            <w:r>
              <w:rPr>
                <w:rFonts w:ascii="Times New Roman" w:hAnsi="Times New Roman"/>
                <w:color w:val="auto"/>
                <w:sz w:val="24"/>
                <w:szCs w:val="24"/>
                <w:highlight w:val="none"/>
              </w:rPr>
              <w:t>4.</w:t>
            </w:r>
            <w:r>
              <w:rPr>
                <w:rFonts w:hint="eastAsia" w:ascii="Times New Roman" w:hAnsi="Times New Roman"/>
                <w:color w:val="auto"/>
                <w:sz w:val="24"/>
                <w:szCs w:val="24"/>
                <w:highlight w:val="none"/>
              </w:rPr>
              <w:t>采取不正当手段谋取中标的。</w:t>
            </w:r>
          </w:p>
        </w:tc>
      </w:tr>
      <w:tr w14:paraId="4CE11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665" w:type="dxa"/>
            <w:vAlign w:val="center"/>
          </w:tcPr>
          <w:p w14:paraId="2F8D0594">
            <w:pPr>
              <w:numPr>
                <w:ilvl w:val="0"/>
                <w:numId w:val="1"/>
              </w:numPr>
              <w:spacing w:line="400" w:lineRule="exact"/>
              <w:jc w:val="center"/>
              <w:rPr>
                <w:rFonts w:ascii="Times New Roman" w:hAnsi="Times New Roman"/>
                <w:color w:val="auto"/>
                <w:sz w:val="24"/>
                <w:szCs w:val="24"/>
                <w:highlight w:val="none"/>
                <w:shd w:val="clear" w:color="auto" w:fill="FFFFFF"/>
                <w:lang w:bidi="ar"/>
              </w:rPr>
            </w:pPr>
          </w:p>
        </w:tc>
        <w:tc>
          <w:tcPr>
            <w:tcW w:w="2266" w:type="dxa"/>
            <w:vAlign w:val="center"/>
          </w:tcPr>
          <w:p w14:paraId="1B8527C4">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中标公告媒介</w:t>
            </w:r>
          </w:p>
          <w:p w14:paraId="73EAF54D">
            <w:pPr>
              <w:spacing w:line="400" w:lineRule="exact"/>
              <w:jc w:val="left"/>
              <w:rPr>
                <w:rFonts w:ascii="Times New Roman" w:hAnsi="Times New Roman"/>
                <w:color w:val="auto"/>
                <w:sz w:val="24"/>
                <w:szCs w:val="24"/>
                <w:highlight w:val="none"/>
              </w:rPr>
            </w:pPr>
            <w:r>
              <w:rPr>
                <w:rFonts w:hint="eastAsia" w:ascii="Times New Roman" w:hAnsi="Times New Roman"/>
                <w:color w:val="auto"/>
                <w:sz w:val="24"/>
                <w:szCs w:val="24"/>
                <w:highlight w:val="none"/>
                <w:shd w:val="clear" w:color="auto" w:fill="FFFFFF"/>
                <w:lang w:bidi="ar"/>
              </w:rPr>
              <w:t>及期限</w:t>
            </w:r>
          </w:p>
        </w:tc>
        <w:tc>
          <w:tcPr>
            <w:tcW w:w="5727" w:type="dxa"/>
            <w:vAlign w:val="center"/>
          </w:tcPr>
          <w:p w14:paraId="0642BF30">
            <w:pPr>
              <w:spacing w:line="400" w:lineRule="exact"/>
              <w:ind w:firstLine="240" w:firstLineChars="100"/>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公告媒介：《三门峡市公共资源交易中心网》《河南省政府采购网》《中国政府采购网》《中国采购与招标网》</w:t>
            </w:r>
          </w:p>
          <w:p w14:paraId="34C359E2">
            <w:pPr>
              <w:spacing w:line="400" w:lineRule="exact"/>
              <w:ind w:firstLine="240" w:firstLineChars="100"/>
              <w:rPr>
                <w:rFonts w:ascii="Times New Roman" w:hAnsi="Times New Roman"/>
                <w:color w:val="auto"/>
                <w:sz w:val="24"/>
                <w:szCs w:val="24"/>
                <w:highlight w:val="none"/>
              </w:rPr>
            </w:pPr>
            <w:r>
              <w:rPr>
                <w:rFonts w:hint="eastAsia" w:ascii="Times New Roman" w:hAnsi="Times New Roman"/>
                <w:color w:val="auto"/>
                <w:kern w:val="0"/>
                <w:sz w:val="24"/>
                <w:szCs w:val="24"/>
                <w:highlight w:val="none"/>
              </w:rPr>
              <w:t>公告期限：</w:t>
            </w:r>
            <w:r>
              <w:rPr>
                <w:rFonts w:ascii="Times New Roman" w:hAnsi="Times New Roman"/>
                <w:color w:val="auto"/>
                <w:kern w:val="0"/>
                <w:sz w:val="24"/>
                <w:szCs w:val="24"/>
                <w:highlight w:val="none"/>
              </w:rPr>
              <w:t>1</w:t>
            </w:r>
            <w:r>
              <w:rPr>
                <w:rFonts w:hint="eastAsia" w:ascii="Times New Roman" w:hAnsi="Times New Roman"/>
                <w:color w:val="auto"/>
                <w:kern w:val="0"/>
                <w:sz w:val="24"/>
                <w:szCs w:val="24"/>
                <w:highlight w:val="none"/>
              </w:rPr>
              <w:t>个工作日</w:t>
            </w:r>
          </w:p>
        </w:tc>
      </w:tr>
      <w:tr w14:paraId="69635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665" w:type="dxa"/>
            <w:vAlign w:val="center"/>
          </w:tcPr>
          <w:p w14:paraId="562D845F">
            <w:pPr>
              <w:numPr>
                <w:ilvl w:val="0"/>
                <w:numId w:val="1"/>
              </w:numPr>
              <w:spacing w:line="400" w:lineRule="exact"/>
              <w:jc w:val="center"/>
              <w:rPr>
                <w:rFonts w:ascii="Times New Roman" w:hAnsi="Times New Roman"/>
                <w:color w:val="auto"/>
                <w:sz w:val="24"/>
                <w:szCs w:val="24"/>
                <w:highlight w:val="none"/>
                <w:shd w:val="clear" w:color="auto" w:fill="FFFFFF"/>
                <w:lang w:bidi="ar"/>
              </w:rPr>
            </w:pPr>
          </w:p>
        </w:tc>
        <w:tc>
          <w:tcPr>
            <w:tcW w:w="2266" w:type="dxa"/>
            <w:vAlign w:val="center"/>
          </w:tcPr>
          <w:p w14:paraId="1C883B34">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最高限价</w:t>
            </w:r>
          </w:p>
        </w:tc>
        <w:tc>
          <w:tcPr>
            <w:tcW w:w="5727" w:type="dxa"/>
          </w:tcPr>
          <w:p w14:paraId="206D49C7">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本项目最高限价：</w:t>
            </w:r>
            <w:r>
              <w:rPr>
                <w:rFonts w:ascii="Times New Roman" w:hAnsi="Times New Roman"/>
                <w:color w:val="auto"/>
                <w:kern w:val="0"/>
                <w:sz w:val="24"/>
                <w:szCs w:val="24"/>
                <w:highlight w:val="none"/>
                <w:lang w:bidi="ar"/>
              </w:rPr>
              <w:t>871</w:t>
            </w:r>
            <w:r>
              <w:rPr>
                <w:rFonts w:hint="eastAsia" w:ascii="Times New Roman" w:hAnsi="Times New Roman"/>
                <w:color w:val="auto"/>
                <w:kern w:val="0"/>
                <w:sz w:val="24"/>
                <w:szCs w:val="24"/>
                <w:highlight w:val="none"/>
                <w:lang w:val="en-US" w:eastAsia="zh-CN" w:bidi="ar"/>
              </w:rPr>
              <w:t>.</w:t>
            </w:r>
            <w:r>
              <w:rPr>
                <w:rFonts w:ascii="Times New Roman" w:hAnsi="Times New Roman"/>
                <w:color w:val="auto"/>
                <w:kern w:val="0"/>
                <w:sz w:val="24"/>
                <w:szCs w:val="24"/>
                <w:highlight w:val="none"/>
                <w:lang w:bidi="ar"/>
              </w:rPr>
              <w:t>5</w:t>
            </w:r>
            <w:r>
              <w:rPr>
                <w:rFonts w:hint="eastAsia" w:ascii="Times New Roman" w:hAnsi="Times New Roman"/>
                <w:color w:val="auto"/>
                <w:kern w:val="0"/>
                <w:sz w:val="24"/>
                <w:szCs w:val="24"/>
                <w:highlight w:val="none"/>
                <w:lang w:val="en-US" w:eastAsia="zh-CN" w:bidi="ar"/>
              </w:rPr>
              <w:t>万</w:t>
            </w:r>
            <w:r>
              <w:rPr>
                <w:rFonts w:hint="eastAsia" w:ascii="Times New Roman" w:hAnsi="Times New Roman"/>
                <w:color w:val="auto"/>
                <w:sz w:val="24"/>
                <w:szCs w:val="24"/>
                <w:highlight w:val="none"/>
                <w:shd w:val="clear" w:color="auto" w:fill="FFFFFF"/>
                <w:lang w:bidi="ar"/>
              </w:rPr>
              <w:t>元。</w:t>
            </w:r>
          </w:p>
          <w:p w14:paraId="31C7E46D">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凡投标供应商投标报价超出最高限价的，该供应商的投标文件应作无效标处理。</w:t>
            </w:r>
          </w:p>
        </w:tc>
      </w:tr>
      <w:tr w14:paraId="116B0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5" w:type="dxa"/>
            <w:vAlign w:val="center"/>
          </w:tcPr>
          <w:p w14:paraId="6443A839">
            <w:pPr>
              <w:numPr>
                <w:ilvl w:val="0"/>
                <w:numId w:val="1"/>
              </w:numPr>
              <w:spacing w:line="400" w:lineRule="exact"/>
              <w:jc w:val="center"/>
              <w:rPr>
                <w:rFonts w:ascii="Times New Roman" w:hAnsi="Times New Roman"/>
                <w:color w:val="auto"/>
                <w:sz w:val="24"/>
                <w:szCs w:val="24"/>
                <w:highlight w:val="none"/>
                <w:shd w:val="clear" w:color="auto" w:fill="FFFFFF"/>
                <w:lang w:bidi="ar"/>
              </w:rPr>
            </w:pPr>
          </w:p>
        </w:tc>
        <w:tc>
          <w:tcPr>
            <w:tcW w:w="2266" w:type="dxa"/>
            <w:vAlign w:val="center"/>
          </w:tcPr>
          <w:p w14:paraId="6F7DC59E">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rPr>
              <w:t>履约保证金</w:t>
            </w:r>
          </w:p>
        </w:tc>
        <w:tc>
          <w:tcPr>
            <w:tcW w:w="5727" w:type="dxa"/>
            <w:vAlign w:val="center"/>
          </w:tcPr>
          <w:p w14:paraId="7AE67F51">
            <w:pPr>
              <w:spacing w:line="400" w:lineRule="exact"/>
              <w:ind w:firstLine="240" w:firstLineChars="100"/>
              <w:rPr>
                <w:rFonts w:ascii="Times New Roman" w:hAnsi="Times New Roman"/>
                <w:color w:val="auto"/>
                <w:sz w:val="24"/>
                <w:szCs w:val="24"/>
                <w:highlight w:val="none"/>
              </w:rPr>
            </w:pPr>
            <w:r>
              <w:rPr>
                <w:rFonts w:hint="eastAsia" w:ascii="Times New Roman" w:hAnsi="Times New Roman"/>
                <w:color w:val="auto"/>
                <w:kern w:val="0"/>
                <w:sz w:val="24"/>
                <w:szCs w:val="24"/>
                <w:highlight w:val="none"/>
              </w:rPr>
              <w:t>本项目不收取履约保证金。如供应商违反政府采购合同约定给采购人造成损失的</w:t>
            </w:r>
            <w:r>
              <w:rPr>
                <w:rFonts w:ascii="Times New Roman" w:hAnsi="Times New Roman"/>
                <w:color w:val="auto"/>
                <w:kern w:val="0"/>
                <w:sz w:val="24"/>
                <w:szCs w:val="24"/>
                <w:highlight w:val="none"/>
              </w:rPr>
              <w:t>,</w:t>
            </w:r>
            <w:r>
              <w:rPr>
                <w:rFonts w:hint="eastAsia" w:ascii="Times New Roman" w:hAnsi="Times New Roman"/>
                <w:color w:val="auto"/>
                <w:kern w:val="0"/>
                <w:sz w:val="24"/>
                <w:szCs w:val="24"/>
                <w:highlight w:val="none"/>
              </w:rPr>
              <w:t>采购人按照合同约定</w:t>
            </w:r>
            <w:r>
              <w:rPr>
                <w:rFonts w:ascii="Times New Roman" w:hAnsi="Times New Roman"/>
                <w:color w:val="auto"/>
                <w:kern w:val="0"/>
                <w:sz w:val="24"/>
                <w:szCs w:val="24"/>
                <w:highlight w:val="none"/>
              </w:rPr>
              <w:t>,</w:t>
            </w:r>
            <w:r>
              <w:rPr>
                <w:rFonts w:hint="eastAsia" w:ascii="Times New Roman" w:hAnsi="Times New Roman"/>
                <w:color w:val="auto"/>
                <w:kern w:val="0"/>
                <w:sz w:val="24"/>
                <w:szCs w:val="24"/>
                <w:highlight w:val="none"/>
              </w:rPr>
              <w:t>要求供应商承担赔偿责任。</w:t>
            </w:r>
          </w:p>
        </w:tc>
      </w:tr>
      <w:tr w14:paraId="5ED59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665" w:type="dxa"/>
            <w:vAlign w:val="center"/>
          </w:tcPr>
          <w:p w14:paraId="6CE31DC3">
            <w:pPr>
              <w:numPr>
                <w:ilvl w:val="0"/>
                <w:numId w:val="1"/>
              </w:numPr>
              <w:spacing w:line="400" w:lineRule="exact"/>
              <w:jc w:val="center"/>
              <w:rPr>
                <w:rFonts w:ascii="Times New Roman" w:hAnsi="Times New Roman"/>
                <w:color w:val="auto"/>
                <w:sz w:val="24"/>
                <w:szCs w:val="24"/>
                <w:highlight w:val="none"/>
                <w:shd w:val="clear" w:color="auto" w:fill="FFFFFF"/>
                <w:lang w:bidi="ar"/>
              </w:rPr>
            </w:pPr>
          </w:p>
        </w:tc>
        <w:tc>
          <w:tcPr>
            <w:tcW w:w="2266" w:type="dxa"/>
            <w:vAlign w:val="center"/>
          </w:tcPr>
          <w:p w14:paraId="04716C81">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付款方式</w:t>
            </w:r>
          </w:p>
        </w:tc>
        <w:tc>
          <w:tcPr>
            <w:tcW w:w="5727" w:type="dxa"/>
          </w:tcPr>
          <w:p w14:paraId="2A8B9769">
            <w:pPr>
              <w:spacing w:line="400" w:lineRule="exact"/>
              <w:ind w:firstLine="241" w:firstLineChars="100"/>
              <w:rPr>
                <w:rFonts w:ascii="Times New Roman" w:hAnsi="Times New Roman"/>
                <w:b/>
                <w:color w:val="auto"/>
                <w:sz w:val="24"/>
                <w:szCs w:val="24"/>
                <w:highlight w:val="none"/>
              </w:rPr>
            </w:pPr>
            <w:r>
              <w:rPr>
                <w:rFonts w:hint="eastAsia" w:ascii="Times New Roman" w:hAnsi="Times New Roman"/>
                <w:b/>
                <w:color w:val="auto"/>
                <w:kern w:val="0"/>
                <w:sz w:val="24"/>
                <w:szCs w:val="24"/>
                <w:highlight w:val="none"/>
              </w:rPr>
              <w:t>项目验收合格后，根据财政情况分5年进行支付（无息）。</w:t>
            </w:r>
          </w:p>
        </w:tc>
      </w:tr>
      <w:tr w14:paraId="63CEC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665" w:type="dxa"/>
            <w:vAlign w:val="center"/>
          </w:tcPr>
          <w:p w14:paraId="54200CB2">
            <w:pPr>
              <w:numPr>
                <w:ilvl w:val="0"/>
                <w:numId w:val="1"/>
              </w:numPr>
              <w:spacing w:line="400" w:lineRule="exact"/>
              <w:jc w:val="center"/>
              <w:rPr>
                <w:rFonts w:ascii="Times New Roman" w:hAnsi="Times New Roman"/>
                <w:color w:val="auto"/>
                <w:sz w:val="24"/>
                <w:szCs w:val="24"/>
                <w:highlight w:val="none"/>
                <w:shd w:val="clear" w:color="auto" w:fill="FFFFFF"/>
                <w:lang w:bidi="ar"/>
              </w:rPr>
            </w:pPr>
          </w:p>
        </w:tc>
        <w:tc>
          <w:tcPr>
            <w:tcW w:w="2266" w:type="dxa"/>
            <w:vAlign w:val="center"/>
          </w:tcPr>
          <w:p w14:paraId="60D932BE">
            <w:pPr>
              <w:spacing w:line="400" w:lineRule="exact"/>
              <w:jc w:val="center"/>
              <w:rPr>
                <w:rFonts w:ascii="Times New Roman" w:hAnsi="Times New Roman"/>
                <w:color w:val="auto"/>
                <w:sz w:val="24"/>
                <w:szCs w:val="24"/>
                <w:highlight w:val="none"/>
              </w:rPr>
            </w:pPr>
            <w:r>
              <w:rPr>
                <w:rFonts w:hint="eastAsia" w:ascii="Times New Roman" w:hAnsi="Times New Roman"/>
                <w:color w:val="auto"/>
                <w:sz w:val="24"/>
                <w:highlight w:val="none"/>
              </w:rPr>
              <w:t>价格调整要素及价格折扣幅度说明：</w:t>
            </w:r>
          </w:p>
        </w:tc>
        <w:tc>
          <w:tcPr>
            <w:tcW w:w="5727" w:type="dxa"/>
            <w:vAlign w:val="center"/>
          </w:tcPr>
          <w:p w14:paraId="679DC275">
            <w:pPr>
              <w:spacing w:line="400" w:lineRule="exact"/>
              <w:ind w:firstLine="240" w:firstLineChars="100"/>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注：</w:t>
            </w:r>
            <w:r>
              <w:rPr>
                <w:rFonts w:ascii="Times New Roman" w:hAnsi="Times New Roman"/>
                <w:color w:val="auto"/>
                <w:kern w:val="0"/>
                <w:sz w:val="24"/>
                <w:szCs w:val="24"/>
                <w:highlight w:val="none"/>
              </w:rPr>
              <w:t>1</w:t>
            </w:r>
            <w:r>
              <w:rPr>
                <w:rFonts w:hint="eastAsia" w:ascii="Times New Roman" w:hAnsi="Times New Roman"/>
                <w:color w:val="auto"/>
                <w:kern w:val="0"/>
                <w:sz w:val="24"/>
                <w:szCs w:val="24"/>
                <w:highlight w:val="none"/>
              </w:rPr>
              <w:t>、投标产品属于节能或环保产品的，以当期的《目录》为准，投标人对于自己产品属于节能或环保产品的需提供证明材料，无证明材料的不予价格折扣；</w:t>
            </w:r>
          </w:p>
          <w:p w14:paraId="0A88F305">
            <w:pPr>
              <w:spacing w:line="400" w:lineRule="exact"/>
              <w:ind w:firstLine="240" w:firstLineChars="1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2</w:t>
            </w:r>
            <w:r>
              <w:rPr>
                <w:rFonts w:hint="eastAsia" w:ascii="Times New Roman" w:hAnsi="Times New Roman"/>
                <w:color w:val="auto"/>
                <w:kern w:val="0"/>
                <w:sz w:val="24"/>
                <w:szCs w:val="24"/>
                <w:highlight w:val="none"/>
              </w:rPr>
              <w:t>、属于强制采购的产品，不再给予价格优惠。</w:t>
            </w:r>
          </w:p>
          <w:p w14:paraId="00FAA95E">
            <w:pPr>
              <w:spacing w:line="400" w:lineRule="exact"/>
              <w:ind w:firstLine="240" w:firstLineChars="1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3</w:t>
            </w:r>
            <w:r>
              <w:rPr>
                <w:rFonts w:hint="eastAsia" w:ascii="Times New Roman" w:hAnsi="Times New Roman"/>
                <w:color w:val="auto"/>
                <w:kern w:val="0"/>
                <w:sz w:val="24"/>
                <w:szCs w:val="24"/>
                <w:highlight w:val="none"/>
              </w:rPr>
              <w:t>、同一标段内有多个投标产品，部分产品符合政策功能要求的，只对符合政策功能要求的产品依据《投标报价明细表》按上述价格折扣幅度进行折扣，并按折扣后的价格即单项评标价计入总价进行评标。该产品单价不明确的，不予折扣。在明细表中及投标函附录中需列出节能或环保或小微企业的产品，并提供相关证明材料，否则不予价格折扣。</w:t>
            </w:r>
          </w:p>
        </w:tc>
      </w:tr>
      <w:tr w14:paraId="34105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665" w:type="dxa"/>
            <w:vAlign w:val="center"/>
          </w:tcPr>
          <w:p w14:paraId="26092860">
            <w:pPr>
              <w:numPr>
                <w:ilvl w:val="0"/>
                <w:numId w:val="1"/>
              </w:numPr>
              <w:spacing w:line="400" w:lineRule="exact"/>
              <w:jc w:val="center"/>
              <w:rPr>
                <w:rFonts w:ascii="Times New Roman" w:hAnsi="Times New Roman"/>
                <w:color w:val="auto"/>
                <w:sz w:val="24"/>
                <w:szCs w:val="24"/>
                <w:highlight w:val="none"/>
                <w:shd w:val="clear" w:color="auto" w:fill="FFFFFF"/>
                <w:lang w:bidi="ar"/>
              </w:rPr>
            </w:pPr>
          </w:p>
        </w:tc>
        <w:tc>
          <w:tcPr>
            <w:tcW w:w="2266" w:type="dxa"/>
            <w:vAlign w:val="center"/>
          </w:tcPr>
          <w:p w14:paraId="7C402E07">
            <w:pPr>
              <w:spacing w:line="400" w:lineRule="exact"/>
              <w:jc w:val="center"/>
              <w:rPr>
                <w:rFonts w:ascii="Times New Roman" w:hAnsi="Times New Roman"/>
                <w:color w:val="auto"/>
                <w:sz w:val="24"/>
                <w:szCs w:val="24"/>
                <w:highlight w:val="none"/>
              </w:rPr>
            </w:pPr>
            <w:r>
              <w:rPr>
                <w:rFonts w:hint="eastAsia" w:ascii="Times New Roman" w:hAnsi="Times New Roman"/>
                <w:color w:val="auto"/>
                <w:sz w:val="24"/>
                <w:highlight w:val="none"/>
              </w:rPr>
              <w:t>政府采购政策</w:t>
            </w:r>
          </w:p>
        </w:tc>
        <w:tc>
          <w:tcPr>
            <w:tcW w:w="5727" w:type="dxa"/>
            <w:vAlign w:val="center"/>
          </w:tcPr>
          <w:p w14:paraId="2A2CBA9E">
            <w:pPr>
              <w:spacing w:line="400" w:lineRule="exact"/>
              <w:ind w:firstLine="240" w:firstLineChars="1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1.</w:t>
            </w:r>
            <w:r>
              <w:rPr>
                <w:rFonts w:hint="eastAsia" w:ascii="Times New Roman" w:hAnsi="Times New Roman"/>
                <w:color w:val="auto"/>
                <w:kern w:val="0"/>
                <w:sz w:val="24"/>
                <w:szCs w:val="24"/>
                <w:highlight w:val="none"/>
              </w:rPr>
              <w:t>落实中小企业、监狱企业、残疾人福利企业政府采购政策。</w:t>
            </w:r>
          </w:p>
          <w:p w14:paraId="5FE1E5EB">
            <w:pPr>
              <w:spacing w:line="400" w:lineRule="exact"/>
              <w:ind w:firstLine="240" w:firstLineChars="100"/>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本项目所属行业：工业</w:t>
            </w:r>
          </w:p>
          <w:p w14:paraId="0AD9DC4A">
            <w:pPr>
              <w:spacing w:line="400" w:lineRule="exact"/>
              <w:ind w:firstLine="240" w:firstLineChars="100"/>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根据《政府采购促进中小企业发展管理办法》</w:t>
            </w:r>
            <w:r>
              <w:rPr>
                <w:rFonts w:ascii="Times New Roman" w:hAnsi="Times New Roman"/>
                <w:color w:val="auto"/>
                <w:kern w:val="0"/>
                <w:sz w:val="24"/>
                <w:szCs w:val="24"/>
                <w:highlight w:val="none"/>
              </w:rPr>
              <w:t>(</w:t>
            </w:r>
            <w:r>
              <w:rPr>
                <w:rFonts w:hint="eastAsia" w:ascii="Times New Roman" w:hAnsi="Times New Roman"/>
                <w:color w:val="auto"/>
                <w:kern w:val="0"/>
                <w:sz w:val="24"/>
                <w:szCs w:val="24"/>
                <w:highlight w:val="none"/>
              </w:rPr>
              <w:t>财库</w:t>
            </w:r>
            <w:r>
              <w:rPr>
                <w:rFonts w:ascii="Times New Roman" w:hAnsi="Times New Roman"/>
                <w:color w:val="auto"/>
                <w:kern w:val="0"/>
                <w:sz w:val="24"/>
                <w:szCs w:val="24"/>
                <w:highlight w:val="none"/>
              </w:rPr>
              <w:t>[2020]46</w:t>
            </w:r>
            <w:r>
              <w:rPr>
                <w:rFonts w:hint="eastAsia" w:ascii="Times New Roman" w:hAnsi="Times New Roman"/>
                <w:color w:val="auto"/>
                <w:kern w:val="0"/>
                <w:sz w:val="24"/>
                <w:szCs w:val="24"/>
                <w:highlight w:val="none"/>
              </w:rPr>
              <w:t>号</w:t>
            </w:r>
            <w:r>
              <w:rPr>
                <w:rFonts w:ascii="Times New Roman" w:hAnsi="Times New Roman"/>
                <w:color w:val="auto"/>
                <w:kern w:val="0"/>
                <w:sz w:val="24"/>
                <w:szCs w:val="24"/>
                <w:highlight w:val="none"/>
              </w:rPr>
              <w:t>)</w:t>
            </w:r>
            <w:r>
              <w:rPr>
                <w:rFonts w:hint="eastAsia" w:ascii="Times New Roman" w:hAnsi="Times New Roman"/>
                <w:color w:val="auto"/>
                <w:kern w:val="0"/>
                <w:sz w:val="24"/>
                <w:szCs w:val="24"/>
                <w:highlight w:val="none"/>
              </w:rPr>
              <w:t>及根据关于进一步加大政府采购支持中小企业发展有关事项的通知（三财购〔</w:t>
            </w:r>
            <w:r>
              <w:rPr>
                <w:rFonts w:ascii="Times New Roman" w:hAnsi="Times New Roman"/>
                <w:color w:val="auto"/>
                <w:kern w:val="0"/>
                <w:sz w:val="24"/>
                <w:szCs w:val="24"/>
                <w:highlight w:val="none"/>
              </w:rPr>
              <w:t>2022</w:t>
            </w:r>
            <w:r>
              <w:rPr>
                <w:rFonts w:hint="eastAsia" w:ascii="Times New Roman" w:hAnsi="Times New Roman"/>
                <w:color w:val="auto"/>
                <w:kern w:val="0"/>
                <w:sz w:val="24"/>
                <w:szCs w:val="24"/>
                <w:highlight w:val="none"/>
              </w:rPr>
              <w:t>〕</w:t>
            </w:r>
            <w:r>
              <w:rPr>
                <w:rFonts w:ascii="Times New Roman" w:hAnsi="Times New Roman"/>
                <w:color w:val="auto"/>
                <w:kern w:val="0"/>
                <w:sz w:val="24"/>
                <w:szCs w:val="24"/>
                <w:highlight w:val="none"/>
              </w:rPr>
              <w:t>9</w:t>
            </w:r>
            <w:r>
              <w:rPr>
                <w:rFonts w:hint="eastAsia" w:ascii="Times New Roman" w:hAnsi="Times New Roman"/>
                <w:color w:val="auto"/>
                <w:kern w:val="0"/>
                <w:sz w:val="24"/>
                <w:szCs w:val="24"/>
                <w:highlight w:val="none"/>
              </w:rPr>
              <w:t>号）的规定、财政部、司法部关于政府采购支持监狱企业发展有关问题的通知</w:t>
            </w:r>
            <w:r>
              <w:rPr>
                <w:rFonts w:ascii="Times New Roman" w:hAnsi="Times New Roman"/>
                <w:color w:val="auto"/>
                <w:kern w:val="0"/>
                <w:sz w:val="24"/>
                <w:szCs w:val="24"/>
                <w:highlight w:val="none"/>
              </w:rPr>
              <w:t>(</w:t>
            </w:r>
            <w:r>
              <w:rPr>
                <w:rFonts w:hint="eastAsia" w:ascii="Times New Roman" w:hAnsi="Times New Roman"/>
                <w:color w:val="auto"/>
                <w:kern w:val="0"/>
                <w:sz w:val="24"/>
                <w:szCs w:val="24"/>
                <w:highlight w:val="none"/>
              </w:rPr>
              <w:t>财库</w:t>
            </w:r>
            <w:r>
              <w:rPr>
                <w:rFonts w:ascii="Times New Roman" w:hAnsi="Times New Roman"/>
                <w:color w:val="auto"/>
                <w:kern w:val="0"/>
                <w:sz w:val="24"/>
                <w:szCs w:val="24"/>
                <w:highlight w:val="none"/>
              </w:rPr>
              <w:t>[2014]68</w:t>
            </w:r>
            <w:r>
              <w:rPr>
                <w:rFonts w:hint="eastAsia" w:ascii="Times New Roman" w:hAnsi="Times New Roman"/>
                <w:color w:val="auto"/>
                <w:kern w:val="0"/>
                <w:sz w:val="24"/>
                <w:szCs w:val="24"/>
                <w:highlight w:val="none"/>
              </w:rPr>
              <w:t>号</w:t>
            </w:r>
            <w:r>
              <w:rPr>
                <w:rFonts w:ascii="Times New Roman" w:hAnsi="Times New Roman"/>
                <w:color w:val="auto"/>
                <w:kern w:val="0"/>
                <w:sz w:val="24"/>
                <w:szCs w:val="24"/>
                <w:highlight w:val="none"/>
              </w:rPr>
              <w:t>)</w:t>
            </w:r>
            <w:r>
              <w:rPr>
                <w:rFonts w:hint="eastAsia" w:ascii="Times New Roman" w:hAnsi="Times New Roman"/>
                <w:color w:val="auto"/>
                <w:kern w:val="0"/>
                <w:sz w:val="24"/>
                <w:szCs w:val="24"/>
                <w:highlight w:val="none"/>
              </w:rPr>
              <w:t>、《三部门联合发布关于促进残疾人就业政府采购政策的通知》</w:t>
            </w:r>
            <w:r>
              <w:rPr>
                <w:rFonts w:ascii="Times New Roman" w:hAnsi="Times New Roman"/>
                <w:color w:val="auto"/>
                <w:kern w:val="0"/>
                <w:sz w:val="24"/>
                <w:szCs w:val="24"/>
                <w:highlight w:val="none"/>
              </w:rPr>
              <w:t>(</w:t>
            </w:r>
            <w:r>
              <w:rPr>
                <w:rFonts w:hint="eastAsia" w:ascii="Times New Roman" w:hAnsi="Times New Roman"/>
                <w:color w:val="auto"/>
                <w:kern w:val="0"/>
                <w:sz w:val="24"/>
                <w:szCs w:val="24"/>
                <w:highlight w:val="none"/>
              </w:rPr>
              <w:t>财库</w:t>
            </w:r>
            <w:r>
              <w:rPr>
                <w:rFonts w:ascii="Times New Roman" w:hAnsi="Times New Roman"/>
                <w:color w:val="auto"/>
                <w:kern w:val="0"/>
                <w:sz w:val="24"/>
                <w:szCs w:val="24"/>
                <w:highlight w:val="none"/>
              </w:rPr>
              <w:t>[2017]141</w:t>
            </w:r>
            <w:r>
              <w:rPr>
                <w:rFonts w:hint="eastAsia" w:ascii="Times New Roman" w:hAnsi="Times New Roman"/>
                <w:color w:val="auto"/>
                <w:kern w:val="0"/>
                <w:sz w:val="24"/>
                <w:szCs w:val="24"/>
                <w:highlight w:val="none"/>
              </w:rPr>
              <w:t>号</w:t>
            </w:r>
            <w:r>
              <w:rPr>
                <w:rFonts w:ascii="Times New Roman" w:hAnsi="Times New Roman"/>
                <w:color w:val="auto"/>
                <w:kern w:val="0"/>
                <w:sz w:val="24"/>
                <w:szCs w:val="24"/>
                <w:highlight w:val="none"/>
              </w:rPr>
              <w:t>)</w:t>
            </w:r>
            <w:r>
              <w:rPr>
                <w:rFonts w:hint="eastAsia" w:ascii="Times New Roman" w:hAnsi="Times New Roman"/>
                <w:color w:val="auto"/>
                <w:kern w:val="0"/>
                <w:sz w:val="24"/>
                <w:szCs w:val="24"/>
                <w:highlight w:val="none"/>
              </w:rPr>
              <w:t>的要求，对小型、微型企业、监狱企业及残疾人福利性单位产品的价格给予</w:t>
            </w:r>
            <w:r>
              <w:rPr>
                <w:rFonts w:ascii="Times New Roman" w:hAnsi="Times New Roman"/>
                <w:color w:val="auto"/>
                <w:kern w:val="0"/>
                <w:sz w:val="24"/>
                <w:szCs w:val="24"/>
                <w:highlight w:val="none"/>
              </w:rPr>
              <w:t>10%-20%</w:t>
            </w:r>
            <w:r>
              <w:rPr>
                <w:rFonts w:hint="eastAsia" w:ascii="Times New Roman" w:hAnsi="Times New Roman"/>
                <w:color w:val="auto"/>
                <w:kern w:val="0"/>
                <w:sz w:val="24"/>
                <w:szCs w:val="24"/>
                <w:highlight w:val="none"/>
              </w:rPr>
              <w:t>的扣除，用扣除后的价格参与评审，本项目的扣除比例为：小型企业扣除2</w:t>
            </w:r>
            <w:r>
              <w:rPr>
                <w:rFonts w:ascii="Times New Roman" w:hAnsi="Times New Roman"/>
                <w:color w:val="auto"/>
                <w:kern w:val="0"/>
                <w:sz w:val="24"/>
                <w:szCs w:val="24"/>
                <w:highlight w:val="none"/>
              </w:rPr>
              <w:t>0%</w:t>
            </w:r>
            <w:r>
              <w:rPr>
                <w:rFonts w:hint="eastAsia" w:ascii="Times New Roman" w:hAnsi="Times New Roman"/>
                <w:color w:val="auto"/>
                <w:kern w:val="0"/>
                <w:sz w:val="24"/>
                <w:szCs w:val="24"/>
                <w:highlight w:val="none"/>
              </w:rPr>
              <w:t>，微型企业扣除2</w:t>
            </w:r>
            <w:r>
              <w:rPr>
                <w:rFonts w:ascii="Times New Roman" w:hAnsi="Times New Roman"/>
                <w:color w:val="auto"/>
                <w:kern w:val="0"/>
                <w:sz w:val="24"/>
                <w:szCs w:val="24"/>
                <w:highlight w:val="none"/>
              </w:rPr>
              <w:t>0%</w:t>
            </w:r>
            <w:r>
              <w:rPr>
                <w:rFonts w:hint="eastAsia" w:ascii="Times New Roman" w:hAnsi="Times New Roman"/>
                <w:color w:val="auto"/>
                <w:kern w:val="0"/>
                <w:sz w:val="24"/>
                <w:szCs w:val="24"/>
                <w:highlight w:val="none"/>
              </w:rPr>
              <w:t>，监狱企业扣除2</w:t>
            </w:r>
            <w:r>
              <w:rPr>
                <w:rFonts w:ascii="Times New Roman" w:hAnsi="Times New Roman"/>
                <w:color w:val="auto"/>
                <w:kern w:val="0"/>
                <w:sz w:val="24"/>
                <w:szCs w:val="24"/>
                <w:highlight w:val="none"/>
              </w:rPr>
              <w:t>0%</w:t>
            </w:r>
            <w:r>
              <w:rPr>
                <w:rFonts w:hint="eastAsia" w:ascii="Times New Roman" w:hAnsi="Times New Roman"/>
                <w:color w:val="auto"/>
                <w:kern w:val="0"/>
                <w:sz w:val="24"/>
                <w:szCs w:val="24"/>
                <w:highlight w:val="none"/>
              </w:rPr>
              <w:t>，残疾人福利性单位扣除2</w:t>
            </w:r>
            <w:r>
              <w:rPr>
                <w:rFonts w:ascii="Times New Roman" w:hAnsi="Times New Roman"/>
                <w:color w:val="auto"/>
                <w:kern w:val="0"/>
                <w:sz w:val="24"/>
                <w:szCs w:val="24"/>
                <w:highlight w:val="none"/>
              </w:rPr>
              <w:t>0%</w:t>
            </w:r>
            <w:r>
              <w:rPr>
                <w:rFonts w:hint="eastAsia" w:ascii="Times New Roman" w:hAnsi="Times New Roman"/>
                <w:color w:val="auto"/>
                <w:kern w:val="0"/>
                <w:sz w:val="24"/>
                <w:szCs w:val="24"/>
                <w:highlight w:val="none"/>
              </w:rPr>
              <w:t>。监狱企业和残疾人福利性单位属于小型、微型企业的，不重复享受政策。</w:t>
            </w:r>
          </w:p>
          <w:p w14:paraId="55CA4C6C">
            <w:pPr>
              <w:spacing w:line="400" w:lineRule="exact"/>
              <w:ind w:firstLine="240" w:firstLineChars="100"/>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在货物采购项目中，供应商提供的货物既有中小企业制造货物，也有大型企业制造货物的，不享受《政府采购促进中小企业发展管理办法》</w:t>
            </w:r>
            <w:r>
              <w:rPr>
                <w:rFonts w:ascii="Times New Roman" w:hAnsi="Times New Roman"/>
                <w:color w:val="auto"/>
                <w:kern w:val="0"/>
                <w:sz w:val="24"/>
                <w:szCs w:val="24"/>
                <w:highlight w:val="none"/>
              </w:rPr>
              <w:t>(</w:t>
            </w:r>
            <w:r>
              <w:rPr>
                <w:rFonts w:hint="eastAsia" w:ascii="Times New Roman" w:hAnsi="Times New Roman"/>
                <w:color w:val="auto"/>
                <w:kern w:val="0"/>
                <w:sz w:val="24"/>
                <w:szCs w:val="24"/>
                <w:highlight w:val="none"/>
              </w:rPr>
              <w:t>财库</w:t>
            </w:r>
            <w:r>
              <w:rPr>
                <w:rFonts w:ascii="Times New Roman" w:hAnsi="Times New Roman"/>
                <w:color w:val="auto"/>
                <w:kern w:val="0"/>
                <w:sz w:val="24"/>
                <w:szCs w:val="24"/>
                <w:highlight w:val="none"/>
              </w:rPr>
              <w:t>[2020]46</w:t>
            </w:r>
            <w:r>
              <w:rPr>
                <w:rFonts w:hint="eastAsia" w:ascii="Times New Roman" w:hAnsi="Times New Roman"/>
                <w:color w:val="auto"/>
                <w:kern w:val="0"/>
                <w:sz w:val="24"/>
                <w:szCs w:val="24"/>
                <w:highlight w:val="none"/>
              </w:rPr>
              <w:t>号</w:t>
            </w:r>
            <w:r>
              <w:rPr>
                <w:rFonts w:ascii="Times New Roman" w:hAnsi="Times New Roman"/>
                <w:color w:val="auto"/>
                <w:kern w:val="0"/>
                <w:sz w:val="24"/>
                <w:szCs w:val="24"/>
                <w:highlight w:val="none"/>
              </w:rPr>
              <w:t>)</w:t>
            </w:r>
            <w:r>
              <w:rPr>
                <w:rFonts w:hint="eastAsia" w:ascii="Times New Roman" w:hAnsi="Times New Roman"/>
                <w:color w:val="auto"/>
                <w:kern w:val="0"/>
                <w:sz w:val="24"/>
                <w:szCs w:val="24"/>
                <w:highlight w:val="none"/>
              </w:rPr>
              <w:t>规定的中小企业扶持政策。</w:t>
            </w:r>
          </w:p>
          <w:p w14:paraId="4D582A63">
            <w:pPr>
              <w:spacing w:line="400" w:lineRule="exact"/>
              <w:ind w:firstLine="240" w:firstLineChars="100"/>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参加政府采购活动的中小企业应当提供《中小企业声明函》；监狱企业应当提供由省级以上监狱管理局、戒毒管理局</w:t>
            </w:r>
            <w:r>
              <w:rPr>
                <w:rFonts w:ascii="Times New Roman" w:hAnsi="Times New Roman"/>
                <w:color w:val="auto"/>
                <w:kern w:val="0"/>
                <w:sz w:val="24"/>
                <w:szCs w:val="24"/>
                <w:highlight w:val="none"/>
              </w:rPr>
              <w:t>(</w:t>
            </w:r>
            <w:r>
              <w:rPr>
                <w:rFonts w:hint="eastAsia" w:ascii="Times New Roman" w:hAnsi="Times New Roman"/>
                <w:color w:val="auto"/>
                <w:kern w:val="0"/>
                <w:sz w:val="24"/>
                <w:szCs w:val="24"/>
                <w:highlight w:val="none"/>
              </w:rPr>
              <w:t>含新疆生产建设兵团</w:t>
            </w:r>
            <w:r>
              <w:rPr>
                <w:rFonts w:ascii="Times New Roman" w:hAnsi="Times New Roman"/>
                <w:color w:val="auto"/>
                <w:kern w:val="0"/>
                <w:sz w:val="24"/>
                <w:szCs w:val="24"/>
                <w:highlight w:val="none"/>
              </w:rPr>
              <w:t>)</w:t>
            </w:r>
            <w:r>
              <w:rPr>
                <w:rFonts w:hint="eastAsia" w:ascii="Times New Roman" w:hAnsi="Times New Roman"/>
                <w:color w:val="auto"/>
                <w:kern w:val="0"/>
                <w:sz w:val="24"/>
                <w:szCs w:val="24"/>
                <w:highlight w:val="none"/>
              </w:rPr>
              <w:t>出具的属于监狱企业的证明文件；残疾人福利性单位应当提供《残疾人福利性单位声明函》。</w:t>
            </w:r>
          </w:p>
          <w:p w14:paraId="700E9573">
            <w:pPr>
              <w:spacing w:line="400" w:lineRule="exact"/>
              <w:ind w:firstLine="240" w:firstLineChars="100"/>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注：依据《政府采购促进中小企业发展管理办法》</w:t>
            </w:r>
            <w:r>
              <w:rPr>
                <w:rFonts w:ascii="Times New Roman" w:hAnsi="Times New Roman"/>
                <w:color w:val="auto"/>
                <w:kern w:val="0"/>
                <w:sz w:val="24"/>
                <w:szCs w:val="24"/>
                <w:highlight w:val="none"/>
              </w:rPr>
              <w:t>(</w:t>
            </w:r>
            <w:r>
              <w:rPr>
                <w:rFonts w:hint="eastAsia" w:ascii="Times New Roman" w:hAnsi="Times New Roman"/>
                <w:color w:val="auto"/>
                <w:kern w:val="0"/>
                <w:sz w:val="24"/>
                <w:szCs w:val="24"/>
                <w:highlight w:val="none"/>
              </w:rPr>
              <w:t>财库</w:t>
            </w:r>
            <w:r>
              <w:rPr>
                <w:rFonts w:ascii="Times New Roman" w:hAnsi="Times New Roman"/>
                <w:color w:val="auto"/>
                <w:kern w:val="0"/>
                <w:sz w:val="24"/>
                <w:szCs w:val="24"/>
                <w:highlight w:val="none"/>
              </w:rPr>
              <w:t>[2020]46</w:t>
            </w:r>
            <w:r>
              <w:rPr>
                <w:rFonts w:hint="eastAsia" w:ascii="Times New Roman" w:hAnsi="Times New Roman"/>
                <w:color w:val="auto"/>
                <w:kern w:val="0"/>
                <w:sz w:val="24"/>
                <w:szCs w:val="24"/>
                <w:highlight w:val="none"/>
              </w:rPr>
              <w:t>号</w:t>
            </w:r>
            <w:r>
              <w:rPr>
                <w:rFonts w:ascii="Times New Roman" w:hAnsi="Times New Roman"/>
                <w:color w:val="auto"/>
                <w:kern w:val="0"/>
                <w:sz w:val="24"/>
                <w:szCs w:val="24"/>
                <w:highlight w:val="none"/>
              </w:rPr>
              <w:t>)</w:t>
            </w:r>
            <w:r>
              <w:rPr>
                <w:rFonts w:hint="eastAsia" w:ascii="Times New Roman" w:hAnsi="Times New Roman"/>
                <w:color w:val="auto"/>
                <w:kern w:val="0"/>
                <w:sz w:val="24"/>
                <w:szCs w:val="24"/>
                <w:highlight w:val="none"/>
              </w:rPr>
              <w:t>规定享受扶持政策获得政府采购合同的，小微企业不得将合同分包给大中型企业，中型企业不得将合同分包给大型企业。</w:t>
            </w:r>
          </w:p>
        </w:tc>
      </w:tr>
      <w:tr w14:paraId="5E65F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665" w:type="dxa"/>
            <w:vAlign w:val="center"/>
          </w:tcPr>
          <w:p w14:paraId="5EE7C74E">
            <w:pPr>
              <w:numPr>
                <w:ilvl w:val="0"/>
                <w:numId w:val="1"/>
              </w:numPr>
              <w:spacing w:line="400" w:lineRule="exact"/>
              <w:jc w:val="center"/>
              <w:rPr>
                <w:rFonts w:ascii="Times New Roman" w:hAnsi="Times New Roman"/>
                <w:color w:val="auto"/>
                <w:sz w:val="24"/>
                <w:szCs w:val="24"/>
                <w:highlight w:val="none"/>
                <w:shd w:val="clear" w:color="auto" w:fill="FFFFFF"/>
                <w:lang w:bidi="ar"/>
              </w:rPr>
            </w:pPr>
          </w:p>
        </w:tc>
        <w:tc>
          <w:tcPr>
            <w:tcW w:w="2266" w:type="dxa"/>
            <w:vAlign w:val="center"/>
          </w:tcPr>
          <w:p w14:paraId="41F670B9">
            <w:pPr>
              <w:spacing w:line="400" w:lineRule="exact"/>
              <w:jc w:val="center"/>
              <w:rPr>
                <w:rFonts w:ascii="Times New Roman" w:hAnsi="Times New Roman"/>
                <w:color w:val="auto"/>
                <w:sz w:val="24"/>
                <w:szCs w:val="24"/>
                <w:highlight w:val="none"/>
              </w:rPr>
            </w:pPr>
            <w:r>
              <w:rPr>
                <w:rFonts w:hint="eastAsia" w:ascii="Times New Roman" w:hAnsi="Times New Roman"/>
                <w:color w:val="auto"/>
                <w:sz w:val="24"/>
                <w:highlight w:val="none"/>
              </w:rPr>
              <w:t>招标代理费</w:t>
            </w:r>
          </w:p>
        </w:tc>
        <w:tc>
          <w:tcPr>
            <w:tcW w:w="5727" w:type="dxa"/>
            <w:vAlign w:val="center"/>
          </w:tcPr>
          <w:p w14:paraId="6FFCD328">
            <w:pPr>
              <w:spacing w:line="400" w:lineRule="exact"/>
              <w:ind w:firstLine="240" w:firstLineChars="1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1.</w:t>
            </w:r>
            <w:r>
              <w:rPr>
                <w:rFonts w:hint="eastAsia" w:ascii="Times New Roman" w:hAnsi="Times New Roman"/>
                <w:color w:val="auto"/>
                <w:kern w:val="0"/>
                <w:sz w:val="24"/>
                <w:szCs w:val="24"/>
                <w:highlight w:val="none"/>
              </w:rPr>
              <w:t>收取标准：参考河南省招标代理服务收费指导意见（豫招协</w:t>
            </w:r>
            <w:r>
              <w:rPr>
                <w:rFonts w:ascii="Times New Roman" w:hAnsi="Times New Roman"/>
                <w:color w:val="auto"/>
                <w:kern w:val="0"/>
                <w:sz w:val="24"/>
                <w:szCs w:val="24"/>
                <w:highlight w:val="none"/>
              </w:rPr>
              <w:t>[2023]002</w:t>
            </w:r>
            <w:r>
              <w:rPr>
                <w:rFonts w:hint="eastAsia" w:ascii="Times New Roman" w:hAnsi="Times New Roman"/>
                <w:color w:val="auto"/>
                <w:kern w:val="0"/>
                <w:sz w:val="24"/>
                <w:szCs w:val="24"/>
                <w:highlight w:val="none"/>
              </w:rPr>
              <w:t>号）规定的收费标准计算。</w:t>
            </w:r>
          </w:p>
          <w:p w14:paraId="6BCFFA9B">
            <w:pPr>
              <w:spacing w:line="400" w:lineRule="exact"/>
              <w:ind w:firstLine="240" w:firstLineChars="1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2.</w:t>
            </w:r>
            <w:r>
              <w:rPr>
                <w:rFonts w:hint="eastAsia" w:ascii="Times New Roman" w:hAnsi="Times New Roman"/>
                <w:color w:val="auto"/>
                <w:kern w:val="0"/>
                <w:sz w:val="24"/>
                <w:szCs w:val="24"/>
                <w:highlight w:val="none"/>
              </w:rPr>
              <w:t>收取方式：中标供应商在领取中标通知书时，以现金或转账的方式一次性向代理机构缴纳招标代理服务费。</w:t>
            </w:r>
          </w:p>
          <w:p w14:paraId="7348B3C5">
            <w:pPr>
              <w:spacing w:line="400" w:lineRule="exact"/>
              <w:ind w:firstLine="240" w:firstLineChars="100"/>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单位名称：河南坤源工程咨询管理有限公司</w:t>
            </w:r>
          </w:p>
          <w:p w14:paraId="54BB948C">
            <w:pPr>
              <w:spacing w:line="400" w:lineRule="exact"/>
              <w:ind w:firstLine="240" w:firstLineChars="100"/>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开户行：中原银行三门峡崤西支行</w:t>
            </w:r>
          </w:p>
          <w:p w14:paraId="15946A76">
            <w:pPr>
              <w:spacing w:line="400" w:lineRule="exact"/>
              <w:ind w:firstLine="240" w:firstLineChars="100"/>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账号：</w:t>
            </w:r>
            <w:r>
              <w:rPr>
                <w:rFonts w:ascii="Times New Roman" w:hAnsi="Times New Roman"/>
                <w:color w:val="auto"/>
                <w:kern w:val="0"/>
                <w:sz w:val="24"/>
                <w:szCs w:val="24"/>
                <w:highlight w:val="none"/>
              </w:rPr>
              <w:t>411210010160036501</w:t>
            </w:r>
          </w:p>
        </w:tc>
      </w:tr>
      <w:tr w14:paraId="0C6AE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665" w:type="dxa"/>
            <w:vAlign w:val="center"/>
          </w:tcPr>
          <w:p w14:paraId="0567BADE">
            <w:pPr>
              <w:numPr>
                <w:ilvl w:val="0"/>
                <w:numId w:val="1"/>
              </w:numPr>
              <w:spacing w:line="400" w:lineRule="exact"/>
              <w:jc w:val="center"/>
              <w:rPr>
                <w:rFonts w:ascii="Times New Roman" w:hAnsi="Times New Roman"/>
                <w:color w:val="auto"/>
                <w:sz w:val="24"/>
                <w:szCs w:val="24"/>
                <w:highlight w:val="none"/>
                <w:shd w:val="clear" w:color="auto" w:fill="FFFFFF"/>
                <w:lang w:bidi="ar"/>
              </w:rPr>
            </w:pPr>
          </w:p>
        </w:tc>
        <w:tc>
          <w:tcPr>
            <w:tcW w:w="2266" w:type="dxa"/>
            <w:vAlign w:val="center"/>
          </w:tcPr>
          <w:p w14:paraId="32583C34">
            <w:pPr>
              <w:spacing w:line="400" w:lineRule="exact"/>
              <w:jc w:val="left"/>
              <w:rPr>
                <w:rFonts w:ascii="Times New Roman" w:hAnsi="Times New Roman"/>
                <w:color w:val="auto"/>
                <w:sz w:val="24"/>
                <w:highlight w:val="none"/>
              </w:rPr>
            </w:pPr>
            <w:r>
              <w:rPr>
                <w:rFonts w:hint="eastAsia" w:ascii="Times New Roman" w:hAnsi="Times New Roman"/>
                <w:color w:val="auto"/>
                <w:sz w:val="24"/>
                <w:szCs w:val="24"/>
                <w:highlight w:val="none"/>
              </w:rPr>
              <w:t>其它补充说明</w:t>
            </w:r>
          </w:p>
        </w:tc>
        <w:tc>
          <w:tcPr>
            <w:tcW w:w="5727" w:type="dxa"/>
            <w:vAlign w:val="center"/>
          </w:tcPr>
          <w:p w14:paraId="5D0B9FD9">
            <w:pPr>
              <w:spacing w:line="400" w:lineRule="exact"/>
              <w:ind w:firstLine="240" w:firstLineChars="1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1.</w:t>
            </w:r>
            <w:r>
              <w:rPr>
                <w:rFonts w:hint="eastAsia" w:ascii="Times New Roman" w:hAnsi="Times New Roman"/>
                <w:color w:val="auto"/>
                <w:kern w:val="0"/>
                <w:sz w:val="24"/>
                <w:szCs w:val="24"/>
                <w:highlight w:val="none"/>
              </w:rPr>
              <w:t>中标人与采购人签订合同后，将合同副本原件扫描件发送采购代理机构备案。</w:t>
            </w:r>
          </w:p>
          <w:p w14:paraId="6D2F83BB">
            <w:pPr>
              <w:spacing w:line="400" w:lineRule="exact"/>
              <w:ind w:firstLine="240" w:firstLineChars="1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2.</w:t>
            </w:r>
            <w:r>
              <w:rPr>
                <w:rFonts w:hint="eastAsia" w:ascii="Times New Roman" w:hAnsi="Times New Roman"/>
                <w:color w:val="auto"/>
                <w:kern w:val="0"/>
                <w:sz w:val="24"/>
                <w:szCs w:val="24"/>
                <w:highlight w:val="none"/>
              </w:rPr>
              <w:t>履约验收要求：合格，符合招标文件及投标文件要求，满足采购人需求。</w:t>
            </w:r>
          </w:p>
        </w:tc>
      </w:tr>
      <w:tr w14:paraId="4A85D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665" w:type="dxa"/>
            <w:vAlign w:val="center"/>
          </w:tcPr>
          <w:p w14:paraId="31E5CCC8">
            <w:pPr>
              <w:numPr>
                <w:ilvl w:val="0"/>
                <w:numId w:val="1"/>
              </w:numPr>
              <w:spacing w:line="400" w:lineRule="exact"/>
              <w:jc w:val="center"/>
              <w:rPr>
                <w:rFonts w:ascii="Times New Roman" w:hAnsi="Times New Roman"/>
                <w:color w:val="auto"/>
                <w:sz w:val="24"/>
                <w:szCs w:val="24"/>
                <w:highlight w:val="none"/>
              </w:rPr>
            </w:pPr>
          </w:p>
        </w:tc>
        <w:tc>
          <w:tcPr>
            <w:tcW w:w="2266" w:type="dxa"/>
            <w:vAlign w:val="center"/>
          </w:tcPr>
          <w:p w14:paraId="66BCD680">
            <w:pPr>
              <w:keepLines/>
              <w:spacing w:line="400" w:lineRule="exact"/>
              <w:jc w:val="center"/>
              <w:rPr>
                <w:rFonts w:ascii="Times New Roman" w:hAnsi="Times New Roman"/>
                <w:color w:val="auto"/>
                <w:sz w:val="24"/>
                <w:szCs w:val="24"/>
                <w:highlight w:val="none"/>
              </w:rPr>
            </w:pPr>
            <w:r>
              <w:rPr>
                <w:rFonts w:hint="eastAsia" w:ascii="Times New Roman" w:hAnsi="Times New Roman"/>
                <w:color w:val="auto"/>
                <w:kern w:val="0"/>
                <w:sz w:val="24"/>
                <w:szCs w:val="24"/>
                <w:highlight w:val="none"/>
              </w:rPr>
              <w:t>质疑和投诉</w:t>
            </w:r>
          </w:p>
        </w:tc>
        <w:tc>
          <w:tcPr>
            <w:tcW w:w="5727" w:type="dxa"/>
            <w:vAlign w:val="center"/>
          </w:tcPr>
          <w:p w14:paraId="23C3AD62">
            <w:pPr>
              <w:spacing w:line="400" w:lineRule="exact"/>
              <w:ind w:firstLine="240" w:firstLineChars="1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1.</w:t>
            </w:r>
            <w:r>
              <w:rPr>
                <w:rFonts w:hint="eastAsia" w:ascii="Times New Roman" w:hAnsi="Times New Roman"/>
                <w:color w:val="auto"/>
                <w:kern w:val="0"/>
                <w:sz w:val="24"/>
                <w:szCs w:val="24"/>
                <w:highlight w:val="none"/>
              </w:rPr>
              <w:t>供应商认为采购文件、采购过程和中标或者成交结果使自己的权益受到损害的，可以在知道或者应知其权益受到损害之日起</w:t>
            </w:r>
            <w:r>
              <w:rPr>
                <w:rFonts w:ascii="Times New Roman" w:hAnsi="Times New Roman"/>
                <w:color w:val="auto"/>
                <w:kern w:val="0"/>
                <w:sz w:val="24"/>
                <w:szCs w:val="24"/>
                <w:highlight w:val="none"/>
              </w:rPr>
              <w:t>7</w:t>
            </w:r>
            <w:r>
              <w:rPr>
                <w:rFonts w:hint="eastAsia" w:ascii="Times New Roman" w:hAnsi="Times New Roman"/>
                <w:color w:val="auto"/>
                <w:kern w:val="0"/>
                <w:sz w:val="24"/>
                <w:szCs w:val="24"/>
                <w:highlight w:val="none"/>
              </w:rPr>
              <w:t>个工作日内，以书面形式向采购人、采购代理机构提出质疑。</w:t>
            </w:r>
          </w:p>
          <w:p w14:paraId="6AF74984">
            <w:pPr>
              <w:spacing w:line="400" w:lineRule="exact"/>
              <w:ind w:firstLine="240" w:firstLineChars="1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2.</w:t>
            </w:r>
            <w:r>
              <w:rPr>
                <w:rFonts w:hint="eastAsia" w:ascii="Times New Roman" w:hAnsi="Times New Roman"/>
                <w:color w:val="auto"/>
                <w:kern w:val="0"/>
                <w:sz w:val="24"/>
                <w:szCs w:val="24"/>
                <w:highlight w:val="none"/>
              </w:rPr>
              <w:t>提出质疑的供应商应按照财政部门制定的《政府采购质疑函范本》格式（详见中国政府采购网）和《政府采购质疑和投诉办法》的要求，在法定质疑期内以书面形式提出质疑，针对同一采购程序环节的质疑应一次性提出。</w:t>
            </w:r>
          </w:p>
          <w:p w14:paraId="507088B7">
            <w:pPr>
              <w:spacing w:line="400" w:lineRule="exact"/>
              <w:ind w:firstLine="240" w:firstLineChars="100"/>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超出法定质疑期的、重复提出的、分次提出的或内容、形式不符合《政府采购质疑和投诉办法》的，提出质疑的供应商将依法承担不利后果。</w:t>
            </w:r>
          </w:p>
          <w:p w14:paraId="6BC2C8AA">
            <w:pPr>
              <w:spacing w:line="400" w:lineRule="exact"/>
              <w:ind w:firstLine="240" w:firstLineChars="1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3.</w:t>
            </w:r>
            <w:r>
              <w:rPr>
                <w:rFonts w:hint="eastAsia" w:ascii="Times New Roman" w:hAnsi="Times New Roman"/>
                <w:color w:val="auto"/>
                <w:kern w:val="0"/>
                <w:sz w:val="24"/>
                <w:szCs w:val="24"/>
                <w:highlight w:val="none"/>
              </w:rPr>
              <w:t>质疑函接收部门、联系电话和通讯地址</w:t>
            </w:r>
            <w:r>
              <w:rPr>
                <w:rFonts w:ascii="Times New Roman" w:hAnsi="Times New Roman"/>
                <w:color w:val="auto"/>
                <w:kern w:val="0"/>
                <w:sz w:val="24"/>
                <w:szCs w:val="24"/>
                <w:highlight w:val="none"/>
              </w:rPr>
              <w:t xml:space="preserve">, </w:t>
            </w:r>
            <w:r>
              <w:rPr>
                <w:rFonts w:hint="eastAsia" w:ascii="Times New Roman" w:hAnsi="Times New Roman"/>
                <w:color w:val="auto"/>
                <w:kern w:val="0"/>
                <w:sz w:val="24"/>
                <w:szCs w:val="24"/>
                <w:highlight w:val="none"/>
              </w:rPr>
              <w:t>见供应商须知前附表</w:t>
            </w:r>
          </w:p>
          <w:p w14:paraId="404BF066">
            <w:pPr>
              <w:spacing w:line="400" w:lineRule="exact"/>
              <w:ind w:firstLine="240" w:firstLineChars="1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4.</w:t>
            </w:r>
            <w:r>
              <w:rPr>
                <w:rFonts w:hint="eastAsia" w:ascii="Times New Roman" w:hAnsi="Times New Roman"/>
                <w:color w:val="auto"/>
                <w:kern w:val="0"/>
                <w:sz w:val="24"/>
                <w:szCs w:val="24"/>
                <w:highlight w:val="none"/>
              </w:rPr>
              <w:t>质疑供应商对采购人、采购代理机构的答复不满意，或者采购人、采购代理机构未在规定时间内作出答复的，可以在答复期满后</w:t>
            </w:r>
            <w:r>
              <w:rPr>
                <w:rFonts w:ascii="Times New Roman" w:hAnsi="Times New Roman"/>
                <w:color w:val="auto"/>
                <w:kern w:val="0"/>
                <w:sz w:val="24"/>
                <w:szCs w:val="24"/>
                <w:highlight w:val="none"/>
              </w:rPr>
              <w:t>15</w:t>
            </w:r>
            <w:r>
              <w:rPr>
                <w:rFonts w:hint="eastAsia" w:ascii="Times New Roman" w:hAnsi="Times New Roman"/>
                <w:color w:val="auto"/>
                <w:kern w:val="0"/>
                <w:sz w:val="24"/>
                <w:szCs w:val="24"/>
                <w:highlight w:val="none"/>
              </w:rPr>
              <w:t>个工作日内向财政部门提起投诉。</w:t>
            </w:r>
          </w:p>
          <w:p w14:paraId="13EC84B3">
            <w:pPr>
              <w:spacing w:line="400" w:lineRule="exact"/>
              <w:ind w:firstLine="240" w:firstLineChars="1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5.</w:t>
            </w:r>
            <w:r>
              <w:rPr>
                <w:rFonts w:hint="eastAsia" w:ascii="Times New Roman" w:hAnsi="Times New Roman"/>
                <w:color w:val="auto"/>
                <w:kern w:val="0"/>
                <w:sz w:val="24"/>
                <w:szCs w:val="24"/>
                <w:highlight w:val="none"/>
              </w:rPr>
              <w:t>投诉人投诉时</w:t>
            </w:r>
            <w:r>
              <w:rPr>
                <w:rFonts w:ascii="Times New Roman" w:hAnsi="Times New Roman"/>
                <w:color w:val="auto"/>
                <w:kern w:val="0"/>
                <w:sz w:val="24"/>
                <w:szCs w:val="24"/>
                <w:highlight w:val="none"/>
              </w:rPr>
              <w:t>,</w:t>
            </w:r>
            <w:r>
              <w:rPr>
                <w:rFonts w:hint="eastAsia" w:ascii="Times New Roman" w:hAnsi="Times New Roman"/>
                <w:color w:val="auto"/>
                <w:kern w:val="0"/>
                <w:sz w:val="24"/>
                <w:szCs w:val="24"/>
                <w:highlight w:val="none"/>
              </w:rPr>
              <w:t>应当提交投诉书和必要的证明材料，并按照被投诉采购人、采购代理机构（以下简称被投诉人）和与投诉事项有关的供应商数量提供投诉书的副本。</w:t>
            </w:r>
          </w:p>
        </w:tc>
      </w:tr>
      <w:tr w14:paraId="68729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665" w:type="dxa"/>
            <w:vAlign w:val="center"/>
          </w:tcPr>
          <w:p w14:paraId="6F146BC9">
            <w:pPr>
              <w:numPr>
                <w:ilvl w:val="0"/>
                <w:numId w:val="1"/>
              </w:numPr>
              <w:spacing w:line="400" w:lineRule="exact"/>
              <w:jc w:val="center"/>
              <w:rPr>
                <w:rFonts w:ascii="Times New Roman" w:hAnsi="Times New Roman"/>
                <w:color w:val="auto"/>
                <w:sz w:val="24"/>
                <w:szCs w:val="24"/>
                <w:highlight w:val="none"/>
              </w:rPr>
            </w:pPr>
          </w:p>
        </w:tc>
        <w:tc>
          <w:tcPr>
            <w:tcW w:w="2266" w:type="dxa"/>
            <w:vAlign w:val="center"/>
          </w:tcPr>
          <w:p w14:paraId="77F2E9FD">
            <w:pPr>
              <w:keepLines/>
              <w:spacing w:line="400" w:lineRule="exact"/>
              <w:jc w:val="center"/>
              <w:rPr>
                <w:rFonts w:ascii="Times New Roman" w:hAnsi="Times New Roman"/>
                <w:color w:val="auto"/>
                <w:sz w:val="24"/>
                <w:szCs w:val="24"/>
                <w:highlight w:val="none"/>
              </w:rPr>
            </w:pPr>
            <w:r>
              <w:rPr>
                <w:rFonts w:hint="eastAsia" w:ascii="Times New Roman" w:hAnsi="Times New Roman"/>
                <w:color w:val="auto"/>
                <w:kern w:val="0"/>
                <w:sz w:val="24"/>
                <w:szCs w:val="24"/>
                <w:highlight w:val="none"/>
              </w:rPr>
              <w:t>招标文件解释</w:t>
            </w:r>
          </w:p>
        </w:tc>
        <w:tc>
          <w:tcPr>
            <w:tcW w:w="5727" w:type="dxa"/>
            <w:vAlign w:val="center"/>
          </w:tcPr>
          <w:p w14:paraId="27D918CF">
            <w:pPr>
              <w:spacing w:line="400" w:lineRule="exact"/>
              <w:ind w:firstLine="240" w:firstLineChars="100"/>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构成本招标文件的各个组成文件应互为解释，互为说明；如有不明确或不一致，构成合同文件组成内容的，以合同文件约定内容为准，除招标文件中有特别规定外，仅适用于采购阶段的规定，按招标公告、供应商须知、评分方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62651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665" w:type="dxa"/>
            <w:vAlign w:val="center"/>
          </w:tcPr>
          <w:p w14:paraId="53F873F2">
            <w:pPr>
              <w:numPr>
                <w:ilvl w:val="0"/>
                <w:numId w:val="1"/>
              </w:numPr>
              <w:spacing w:line="400" w:lineRule="exact"/>
              <w:jc w:val="center"/>
              <w:rPr>
                <w:rFonts w:ascii="Times New Roman" w:hAnsi="Times New Roman"/>
                <w:color w:val="auto"/>
                <w:sz w:val="24"/>
                <w:szCs w:val="24"/>
                <w:highlight w:val="none"/>
              </w:rPr>
            </w:pPr>
          </w:p>
        </w:tc>
        <w:tc>
          <w:tcPr>
            <w:tcW w:w="2266" w:type="dxa"/>
            <w:vAlign w:val="center"/>
          </w:tcPr>
          <w:p w14:paraId="0B6C9367">
            <w:pPr>
              <w:spacing w:line="400" w:lineRule="exact"/>
              <w:jc w:val="center"/>
              <w:rPr>
                <w:rFonts w:ascii="Times New Roman" w:hAnsi="Times New Roman"/>
                <w:color w:val="auto"/>
                <w:kern w:val="0"/>
                <w:sz w:val="24"/>
                <w:szCs w:val="24"/>
                <w:highlight w:val="none"/>
              </w:rPr>
            </w:pPr>
            <w:r>
              <w:rPr>
                <w:rFonts w:hint="eastAsia" w:ascii="Times New Roman" w:hAnsi="Times New Roman"/>
                <w:color w:val="auto"/>
                <w:kern w:val="44"/>
                <w:sz w:val="24"/>
                <w:szCs w:val="24"/>
                <w:highlight w:val="none"/>
              </w:rPr>
              <w:t>同义词语</w:t>
            </w:r>
          </w:p>
        </w:tc>
        <w:tc>
          <w:tcPr>
            <w:tcW w:w="5727" w:type="dxa"/>
            <w:vAlign w:val="center"/>
          </w:tcPr>
          <w:p w14:paraId="6972D045">
            <w:pPr>
              <w:spacing w:line="400" w:lineRule="exact"/>
              <w:jc w:val="left"/>
              <w:rPr>
                <w:rFonts w:ascii="Times New Roman" w:hAnsi="Times New Roman"/>
                <w:color w:val="auto"/>
                <w:kern w:val="0"/>
                <w:sz w:val="24"/>
                <w:szCs w:val="24"/>
                <w:highlight w:val="none"/>
              </w:rPr>
            </w:pPr>
            <w:r>
              <w:rPr>
                <w:rFonts w:ascii="Times New Roman" w:hAnsi="Times New Roman"/>
                <w:color w:val="auto"/>
                <w:kern w:val="44"/>
                <w:sz w:val="24"/>
                <w:szCs w:val="24"/>
                <w:highlight w:val="none"/>
              </w:rPr>
              <w:t xml:space="preserve">  </w:t>
            </w:r>
            <w:r>
              <w:rPr>
                <w:rFonts w:hint="eastAsia" w:ascii="Times New Roman" w:hAnsi="Times New Roman"/>
                <w:color w:val="auto"/>
                <w:kern w:val="44"/>
                <w:sz w:val="24"/>
                <w:szCs w:val="24"/>
                <w:highlight w:val="none"/>
              </w:rPr>
              <w:t>构成招标文件组成部分的“通用合同条款”、“专用合同条款”、“技术标准和要求”等章节中出现的措辞“发包人”和“承包人”，在招标投标阶段应当分别按“招标人”和“投标人”进行理解。</w:t>
            </w:r>
          </w:p>
        </w:tc>
      </w:tr>
      <w:tr w14:paraId="3E1D6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665" w:type="dxa"/>
            <w:vAlign w:val="center"/>
          </w:tcPr>
          <w:p w14:paraId="34428D5F">
            <w:pPr>
              <w:numPr>
                <w:ilvl w:val="0"/>
                <w:numId w:val="1"/>
              </w:numPr>
              <w:spacing w:line="400" w:lineRule="exact"/>
              <w:jc w:val="center"/>
              <w:rPr>
                <w:rFonts w:ascii="Times New Roman" w:hAnsi="Times New Roman"/>
                <w:color w:val="auto"/>
                <w:sz w:val="24"/>
                <w:szCs w:val="24"/>
                <w:highlight w:val="none"/>
              </w:rPr>
            </w:pPr>
          </w:p>
        </w:tc>
        <w:tc>
          <w:tcPr>
            <w:tcW w:w="2266" w:type="dxa"/>
            <w:vAlign w:val="center"/>
          </w:tcPr>
          <w:p w14:paraId="55F60C57">
            <w:pPr>
              <w:autoSpaceDE w:val="0"/>
              <w:autoSpaceDN w:val="0"/>
              <w:adjustRightInd w:val="0"/>
              <w:spacing w:line="400" w:lineRule="exact"/>
              <w:contextualSpacing/>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知识产权</w:t>
            </w:r>
          </w:p>
        </w:tc>
        <w:tc>
          <w:tcPr>
            <w:tcW w:w="5727" w:type="dxa"/>
            <w:vAlign w:val="center"/>
          </w:tcPr>
          <w:p w14:paraId="7E5E0843">
            <w:pPr>
              <w:spacing w:line="400" w:lineRule="exact"/>
              <w:ind w:firstLine="240" w:firstLineChars="100"/>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构成本采购文件各个组成部分的文件，未经采购人书面同意，供应商不得擅自复印和用于非本招标项目所需的其他目的。采购人全部或者部分使用未成交供应商响应文件中的技术成果或技术方案时，需征得其书面同意，并不得擅自复印或提供给第三人。</w:t>
            </w:r>
          </w:p>
        </w:tc>
      </w:tr>
      <w:tr w14:paraId="2115E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665" w:type="dxa"/>
            <w:vAlign w:val="center"/>
          </w:tcPr>
          <w:p w14:paraId="70A5F062">
            <w:pPr>
              <w:numPr>
                <w:ilvl w:val="0"/>
                <w:numId w:val="1"/>
              </w:numPr>
              <w:spacing w:line="400" w:lineRule="exact"/>
              <w:jc w:val="center"/>
              <w:rPr>
                <w:rFonts w:ascii="Times New Roman" w:hAnsi="Times New Roman"/>
                <w:color w:val="auto"/>
                <w:sz w:val="24"/>
                <w:szCs w:val="24"/>
                <w:highlight w:val="none"/>
                <w:shd w:val="clear" w:color="auto" w:fill="FFFFFF"/>
                <w:lang w:bidi="ar"/>
              </w:rPr>
            </w:pPr>
          </w:p>
        </w:tc>
        <w:tc>
          <w:tcPr>
            <w:tcW w:w="2266" w:type="dxa"/>
            <w:vAlign w:val="center"/>
          </w:tcPr>
          <w:p w14:paraId="29C9BD40">
            <w:pPr>
              <w:spacing w:line="400" w:lineRule="exact"/>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是否实行计算机辅助评标</w:t>
            </w:r>
          </w:p>
        </w:tc>
        <w:tc>
          <w:tcPr>
            <w:tcW w:w="5727" w:type="dxa"/>
            <w:vAlign w:val="center"/>
          </w:tcPr>
          <w:p w14:paraId="2F7EA521">
            <w:pPr>
              <w:spacing w:line="400" w:lineRule="exact"/>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是。</w:t>
            </w:r>
          </w:p>
          <w:p w14:paraId="36CE969B">
            <w:pPr>
              <w:spacing w:line="400" w:lineRule="exact"/>
              <w:jc w:val="left"/>
              <w:rPr>
                <w:rFonts w:ascii="Times New Roman" w:hAnsi="Times New Roman"/>
                <w:color w:val="auto"/>
                <w:kern w:val="0"/>
                <w:sz w:val="24"/>
                <w:szCs w:val="24"/>
                <w:highlight w:val="none"/>
              </w:rPr>
            </w:pPr>
            <w:r>
              <w:rPr>
                <w:rFonts w:ascii="Times New Roman" w:hAnsi="Times New Roman"/>
                <w:color w:val="auto"/>
                <w:sz w:val="24"/>
                <w:szCs w:val="24"/>
                <w:highlight w:val="none"/>
              </w:rPr>
              <w:t>供应商须独立制作、修改和上传响应文件，若因“响应文件制作机器码”与其他供应商一致，机器码一致的所有响应文件按无效文件处理，所造成的不良后果由供应商自行承担。</w:t>
            </w:r>
          </w:p>
        </w:tc>
      </w:tr>
      <w:tr w14:paraId="27A20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665" w:type="dxa"/>
            <w:vAlign w:val="center"/>
          </w:tcPr>
          <w:p w14:paraId="74A1CFAC">
            <w:pPr>
              <w:numPr>
                <w:ilvl w:val="0"/>
                <w:numId w:val="1"/>
              </w:numPr>
              <w:spacing w:line="400" w:lineRule="exact"/>
              <w:jc w:val="center"/>
              <w:rPr>
                <w:rFonts w:ascii="Times New Roman" w:hAnsi="Times New Roman"/>
                <w:color w:val="auto"/>
                <w:sz w:val="24"/>
                <w:szCs w:val="24"/>
                <w:highlight w:val="none"/>
                <w:shd w:val="clear" w:color="auto" w:fill="FFFFFF"/>
                <w:lang w:bidi="ar"/>
              </w:rPr>
            </w:pPr>
          </w:p>
        </w:tc>
        <w:tc>
          <w:tcPr>
            <w:tcW w:w="2266" w:type="dxa"/>
            <w:vAlign w:val="center"/>
          </w:tcPr>
          <w:p w14:paraId="622539E8">
            <w:pPr>
              <w:spacing w:line="400" w:lineRule="exact"/>
              <w:jc w:val="center"/>
              <w:rPr>
                <w:rFonts w:ascii="Times New Roman" w:hAnsi="Times New Roman"/>
                <w:color w:val="auto"/>
                <w:sz w:val="24"/>
                <w:szCs w:val="24"/>
                <w:highlight w:val="none"/>
              </w:rPr>
            </w:pPr>
            <w:r>
              <w:rPr>
                <w:rFonts w:hint="eastAsia" w:ascii="Times New Roman" w:hAnsi="Times New Roman"/>
                <w:color w:val="auto"/>
                <w:sz w:val="24"/>
                <w:highlight w:val="none"/>
              </w:rPr>
              <w:t>其他</w:t>
            </w:r>
          </w:p>
        </w:tc>
        <w:tc>
          <w:tcPr>
            <w:tcW w:w="5727" w:type="dxa"/>
            <w:vAlign w:val="center"/>
          </w:tcPr>
          <w:p w14:paraId="149C9412">
            <w:pPr>
              <w:spacing w:line="400" w:lineRule="exact"/>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一、招标文件的最终解释权归招标人；</w:t>
            </w:r>
          </w:p>
          <w:p w14:paraId="61F0BA2D">
            <w:pPr>
              <w:spacing w:line="400" w:lineRule="exact"/>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二、其它未尽事宜，按国家有关法律、法规执行。</w:t>
            </w:r>
          </w:p>
          <w:p w14:paraId="171A1958">
            <w:pPr>
              <w:spacing w:line="500" w:lineRule="exact"/>
              <w:rPr>
                <w:rFonts w:ascii="Times New Roman" w:hAnsi="Times New Roman"/>
                <w:b/>
                <w:color w:val="auto"/>
                <w:sz w:val="24"/>
                <w:szCs w:val="24"/>
                <w:highlight w:val="none"/>
              </w:rPr>
            </w:pPr>
            <w:r>
              <w:rPr>
                <w:rFonts w:hint="eastAsia" w:ascii="Times New Roman" w:hAnsi="Times New Roman"/>
                <w:b/>
                <w:color w:val="auto"/>
                <w:sz w:val="24"/>
                <w:szCs w:val="24"/>
                <w:highlight w:val="none"/>
              </w:rPr>
              <w:t>三、成交供应商，不得以任何理由和任何方式转包给第三方。</w:t>
            </w:r>
          </w:p>
          <w:p w14:paraId="6176A71E">
            <w:pPr>
              <w:spacing w:line="500" w:lineRule="exact"/>
              <w:rPr>
                <w:rFonts w:ascii="Times New Roman" w:hAnsi="Times New Roman"/>
                <w:b/>
                <w:color w:val="auto"/>
                <w:sz w:val="24"/>
                <w:szCs w:val="24"/>
                <w:highlight w:val="none"/>
              </w:rPr>
            </w:pPr>
            <w:r>
              <w:rPr>
                <w:rFonts w:hint="eastAsia" w:ascii="Times New Roman" w:hAnsi="Times New Roman"/>
                <w:b/>
                <w:color w:val="auto"/>
                <w:sz w:val="24"/>
                <w:szCs w:val="24"/>
                <w:highlight w:val="none"/>
              </w:rPr>
              <w:t>四、参与同一个标段（包）的供应商存在下列情形之一的，其投标（响应）文件无效：</w:t>
            </w:r>
          </w:p>
          <w:p w14:paraId="76E178BF">
            <w:pPr>
              <w:spacing w:line="500" w:lineRule="exact"/>
              <w:rPr>
                <w:rFonts w:ascii="Times New Roman" w:hAnsi="Times New Roman"/>
                <w:bCs/>
                <w:color w:val="auto"/>
                <w:sz w:val="24"/>
                <w:szCs w:val="24"/>
                <w:highlight w:val="none"/>
              </w:rPr>
            </w:pPr>
            <w:r>
              <w:rPr>
                <w:rFonts w:hint="eastAsia" w:ascii="Times New Roman" w:hAnsi="Times New Roman"/>
                <w:bCs/>
                <w:color w:val="auto"/>
                <w:sz w:val="24"/>
                <w:szCs w:val="24"/>
                <w:highlight w:val="none"/>
              </w:rPr>
              <w:t>（</w:t>
            </w:r>
            <w:r>
              <w:rPr>
                <w:rFonts w:ascii="Times New Roman" w:hAnsi="Times New Roman"/>
                <w:bCs/>
                <w:color w:val="auto"/>
                <w:sz w:val="24"/>
                <w:szCs w:val="24"/>
                <w:highlight w:val="none"/>
              </w:rPr>
              <w:t>1</w:t>
            </w:r>
            <w:r>
              <w:rPr>
                <w:rFonts w:hint="eastAsia" w:ascii="Times New Roman" w:hAnsi="Times New Roman"/>
                <w:bCs/>
                <w:color w:val="auto"/>
                <w:sz w:val="24"/>
                <w:szCs w:val="24"/>
                <w:highlight w:val="none"/>
              </w:rPr>
              <w:t>）不同供应商的响应文件由同一单位或者个人编制；</w:t>
            </w:r>
          </w:p>
          <w:p w14:paraId="584FFF03">
            <w:pPr>
              <w:spacing w:line="500" w:lineRule="exact"/>
              <w:rPr>
                <w:rFonts w:ascii="Times New Roman" w:hAnsi="Times New Roman"/>
                <w:bCs/>
                <w:color w:val="auto"/>
                <w:sz w:val="24"/>
                <w:szCs w:val="24"/>
                <w:highlight w:val="none"/>
              </w:rPr>
            </w:pPr>
            <w:r>
              <w:rPr>
                <w:rFonts w:hint="eastAsia" w:ascii="Times New Roman" w:hAnsi="Times New Roman"/>
                <w:bCs/>
                <w:color w:val="auto"/>
                <w:sz w:val="24"/>
                <w:szCs w:val="24"/>
                <w:highlight w:val="none"/>
              </w:rPr>
              <w:t>（</w:t>
            </w:r>
            <w:r>
              <w:rPr>
                <w:rFonts w:ascii="Times New Roman" w:hAnsi="Times New Roman"/>
                <w:bCs/>
                <w:color w:val="auto"/>
                <w:sz w:val="24"/>
                <w:szCs w:val="24"/>
                <w:highlight w:val="none"/>
              </w:rPr>
              <w:t>2</w:t>
            </w:r>
            <w:r>
              <w:rPr>
                <w:rFonts w:hint="eastAsia" w:ascii="Times New Roman" w:hAnsi="Times New Roman"/>
                <w:bCs/>
                <w:color w:val="auto"/>
                <w:sz w:val="24"/>
                <w:szCs w:val="24"/>
                <w:highlight w:val="none"/>
              </w:rPr>
              <w:t>）不同供应商委托同一单位或者个人办理投标事宜；</w:t>
            </w:r>
          </w:p>
          <w:p w14:paraId="6462ABEE">
            <w:pPr>
              <w:spacing w:line="500" w:lineRule="exact"/>
              <w:rPr>
                <w:rFonts w:ascii="Times New Roman" w:hAnsi="Times New Roman"/>
                <w:bCs/>
                <w:color w:val="auto"/>
                <w:sz w:val="24"/>
                <w:szCs w:val="24"/>
                <w:highlight w:val="none"/>
              </w:rPr>
            </w:pPr>
            <w:r>
              <w:rPr>
                <w:rFonts w:hint="eastAsia" w:ascii="Times New Roman" w:hAnsi="Times New Roman"/>
                <w:bCs/>
                <w:color w:val="auto"/>
                <w:sz w:val="24"/>
                <w:szCs w:val="24"/>
                <w:highlight w:val="none"/>
              </w:rPr>
              <w:t>（</w:t>
            </w:r>
            <w:r>
              <w:rPr>
                <w:rFonts w:ascii="Times New Roman" w:hAnsi="Times New Roman"/>
                <w:bCs/>
                <w:color w:val="auto"/>
                <w:sz w:val="24"/>
                <w:szCs w:val="24"/>
                <w:highlight w:val="none"/>
              </w:rPr>
              <w:t>3</w:t>
            </w:r>
            <w:r>
              <w:rPr>
                <w:rFonts w:hint="eastAsia" w:ascii="Times New Roman" w:hAnsi="Times New Roman"/>
                <w:bCs/>
                <w:color w:val="auto"/>
                <w:sz w:val="24"/>
                <w:szCs w:val="24"/>
                <w:highlight w:val="none"/>
              </w:rPr>
              <w:t>）不同供应商的响应文件载明的项目管理成员或者联系人员为同一人；</w:t>
            </w:r>
          </w:p>
          <w:p w14:paraId="24AAA29E">
            <w:pPr>
              <w:spacing w:line="500" w:lineRule="exact"/>
              <w:rPr>
                <w:rFonts w:ascii="Times New Roman" w:hAnsi="Times New Roman"/>
                <w:bCs/>
                <w:color w:val="auto"/>
                <w:sz w:val="24"/>
                <w:szCs w:val="24"/>
                <w:highlight w:val="none"/>
              </w:rPr>
            </w:pPr>
            <w:r>
              <w:rPr>
                <w:rFonts w:hint="eastAsia" w:ascii="Times New Roman" w:hAnsi="Times New Roman"/>
                <w:bCs/>
                <w:color w:val="auto"/>
                <w:sz w:val="24"/>
                <w:szCs w:val="24"/>
                <w:highlight w:val="none"/>
              </w:rPr>
              <w:t>（</w:t>
            </w:r>
            <w:r>
              <w:rPr>
                <w:rFonts w:ascii="Times New Roman" w:hAnsi="Times New Roman"/>
                <w:bCs/>
                <w:color w:val="auto"/>
                <w:sz w:val="24"/>
                <w:szCs w:val="24"/>
                <w:highlight w:val="none"/>
              </w:rPr>
              <w:t>4</w:t>
            </w:r>
            <w:r>
              <w:rPr>
                <w:rFonts w:hint="eastAsia" w:ascii="Times New Roman" w:hAnsi="Times New Roman"/>
                <w:bCs/>
                <w:color w:val="auto"/>
                <w:sz w:val="24"/>
                <w:szCs w:val="24"/>
                <w:highlight w:val="none"/>
              </w:rPr>
              <w:t>）不同供应商的响应文件异常一致或者投标报价呈规律性差异；</w:t>
            </w:r>
          </w:p>
          <w:p w14:paraId="391C9E93">
            <w:pPr>
              <w:spacing w:line="500" w:lineRule="exact"/>
              <w:rPr>
                <w:rFonts w:ascii="Times New Roman" w:hAnsi="Times New Roman"/>
                <w:bCs/>
                <w:color w:val="auto"/>
                <w:sz w:val="24"/>
                <w:szCs w:val="24"/>
                <w:highlight w:val="none"/>
              </w:rPr>
            </w:pPr>
            <w:r>
              <w:rPr>
                <w:rFonts w:hint="eastAsia" w:ascii="Times New Roman" w:hAnsi="Times New Roman"/>
                <w:bCs/>
                <w:color w:val="auto"/>
                <w:sz w:val="24"/>
                <w:szCs w:val="24"/>
                <w:highlight w:val="none"/>
              </w:rPr>
              <w:t>（</w:t>
            </w:r>
            <w:r>
              <w:rPr>
                <w:rFonts w:ascii="Times New Roman" w:hAnsi="Times New Roman"/>
                <w:bCs/>
                <w:color w:val="auto"/>
                <w:sz w:val="24"/>
                <w:szCs w:val="24"/>
                <w:highlight w:val="none"/>
              </w:rPr>
              <w:t>5</w:t>
            </w:r>
            <w:r>
              <w:rPr>
                <w:rFonts w:hint="eastAsia" w:ascii="Times New Roman" w:hAnsi="Times New Roman"/>
                <w:bCs/>
                <w:color w:val="auto"/>
                <w:sz w:val="24"/>
                <w:szCs w:val="24"/>
                <w:highlight w:val="none"/>
              </w:rPr>
              <w:t>）不同供应商的响应文件相互混装；</w:t>
            </w:r>
          </w:p>
          <w:p w14:paraId="090325C0">
            <w:pPr>
              <w:spacing w:line="500" w:lineRule="exact"/>
              <w:rPr>
                <w:rFonts w:ascii="Times New Roman" w:hAnsi="Times New Roman"/>
                <w:bCs/>
                <w:color w:val="auto"/>
                <w:sz w:val="24"/>
                <w:szCs w:val="24"/>
                <w:highlight w:val="none"/>
              </w:rPr>
            </w:pPr>
            <w:r>
              <w:rPr>
                <w:rFonts w:hint="eastAsia" w:ascii="Times New Roman" w:hAnsi="Times New Roman"/>
                <w:bCs/>
                <w:color w:val="auto"/>
                <w:sz w:val="24"/>
                <w:szCs w:val="24"/>
                <w:highlight w:val="none"/>
              </w:rPr>
              <w:t>（</w:t>
            </w:r>
            <w:r>
              <w:rPr>
                <w:rFonts w:ascii="Times New Roman" w:hAnsi="Times New Roman"/>
                <w:bCs/>
                <w:color w:val="auto"/>
                <w:sz w:val="24"/>
                <w:szCs w:val="24"/>
                <w:highlight w:val="none"/>
              </w:rPr>
              <w:t>6</w:t>
            </w:r>
            <w:r>
              <w:rPr>
                <w:rFonts w:hint="eastAsia" w:ascii="Times New Roman" w:hAnsi="Times New Roman"/>
                <w:bCs/>
                <w:color w:val="auto"/>
                <w:sz w:val="24"/>
                <w:szCs w:val="24"/>
                <w:highlight w:val="none"/>
              </w:rPr>
              <w:t>）不同供应商的电子投标（响应）文件上传计算机的网卡</w:t>
            </w:r>
            <w:r>
              <w:rPr>
                <w:rFonts w:ascii="Times New Roman" w:hAnsi="Times New Roman"/>
                <w:bCs/>
                <w:color w:val="auto"/>
                <w:sz w:val="24"/>
                <w:szCs w:val="24"/>
                <w:highlight w:val="none"/>
              </w:rPr>
              <w:t>MAC</w:t>
            </w:r>
            <w:r>
              <w:rPr>
                <w:rFonts w:hint="eastAsia" w:ascii="Times New Roman" w:hAnsi="Times New Roman"/>
                <w:bCs/>
                <w:color w:val="auto"/>
                <w:sz w:val="24"/>
                <w:szCs w:val="24"/>
                <w:highlight w:val="none"/>
              </w:rPr>
              <w:t>地址、</w:t>
            </w:r>
            <w:r>
              <w:rPr>
                <w:rFonts w:ascii="Times New Roman" w:hAnsi="Times New Roman"/>
                <w:bCs/>
                <w:color w:val="auto"/>
                <w:sz w:val="24"/>
                <w:szCs w:val="24"/>
                <w:highlight w:val="none"/>
              </w:rPr>
              <w:t>CPU</w:t>
            </w:r>
            <w:r>
              <w:rPr>
                <w:rFonts w:hint="eastAsia" w:ascii="Times New Roman" w:hAnsi="Times New Roman"/>
                <w:bCs/>
                <w:color w:val="auto"/>
                <w:sz w:val="24"/>
                <w:szCs w:val="24"/>
                <w:highlight w:val="none"/>
              </w:rPr>
              <w:t>序列号和硬盘序列号等硬件信息相同的；</w:t>
            </w:r>
          </w:p>
          <w:p w14:paraId="14D98DAD">
            <w:pPr>
              <w:spacing w:line="500" w:lineRule="exact"/>
              <w:rPr>
                <w:rFonts w:ascii="Times New Roman" w:hAnsi="Times New Roman"/>
                <w:bCs/>
                <w:color w:val="auto"/>
                <w:sz w:val="24"/>
                <w:szCs w:val="24"/>
                <w:highlight w:val="none"/>
              </w:rPr>
            </w:pPr>
            <w:r>
              <w:rPr>
                <w:rFonts w:hint="eastAsia" w:ascii="Times New Roman" w:hAnsi="Times New Roman"/>
                <w:bCs/>
                <w:color w:val="auto"/>
                <w:sz w:val="24"/>
                <w:szCs w:val="24"/>
                <w:highlight w:val="none"/>
              </w:rPr>
              <w:t>（</w:t>
            </w:r>
            <w:r>
              <w:rPr>
                <w:rFonts w:ascii="Times New Roman" w:hAnsi="Times New Roman"/>
                <w:bCs/>
                <w:color w:val="auto"/>
                <w:sz w:val="24"/>
                <w:szCs w:val="24"/>
                <w:highlight w:val="none"/>
              </w:rPr>
              <w:t>7</w:t>
            </w:r>
            <w:r>
              <w:rPr>
                <w:rFonts w:hint="eastAsia" w:ascii="Times New Roman" w:hAnsi="Times New Roman"/>
                <w:bCs/>
                <w:color w:val="auto"/>
                <w:sz w:val="24"/>
                <w:szCs w:val="24"/>
                <w:highlight w:val="none"/>
              </w:rPr>
              <w:t>）不同供应商的投标（响应）文件由同一电子设备编制、打印加密或者上传；</w:t>
            </w:r>
          </w:p>
          <w:p w14:paraId="5BFB09E9">
            <w:pPr>
              <w:spacing w:line="500" w:lineRule="exact"/>
              <w:rPr>
                <w:rFonts w:ascii="Times New Roman" w:hAnsi="Times New Roman"/>
                <w:bCs/>
                <w:color w:val="auto"/>
                <w:sz w:val="24"/>
                <w:szCs w:val="24"/>
                <w:highlight w:val="none"/>
              </w:rPr>
            </w:pPr>
            <w:r>
              <w:rPr>
                <w:rFonts w:hint="eastAsia" w:ascii="Times New Roman" w:hAnsi="Times New Roman"/>
                <w:bCs/>
                <w:color w:val="auto"/>
                <w:sz w:val="24"/>
                <w:szCs w:val="24"/>
                <w:highlight w:val="none"/>
              </w:rPr>
              <w:t>（</w:t>
            </w:r>
            <w:r>
              <w:rPr>
                <w:rFonts w:ascii="Times New Roman" w:hAnsi="Times New Roman"/>
                <w:bCs/>
                <w:color w:val="auto"/>
                <w:sz w:val="24"/>
                <w:szCs w:val="24"/>
                <w:highlight w:val="none"/>
              </w:rPr>
              <w:t>8</w:t>
            </w:r>
            <w:r>
              <w:rPr>
                <w:rFonts w:hint="eastAsia" w:ascii="Times New Roman" w:hAnsi="Times New Roman"/>
                <w:bCs/>
                <w:color w:val="auto"/>
                <w:sz w:val="24"/>
                <w:szCs w:val="24"/>
                <w:highlight w:val="none"/>
              </w:rPr>
              <w:t>）不同供应商的投标（响应）文件由同一电子设备打印、复印；</w:t>
            </w:r>
          </w:p>
          <w:p w14:paraId="2CFE00B9">
            <w:pPr>
              <w:spacing w:line="500" w:lineRule="exact"/>
              <w:rPr>
                <w:rFonts w:ascii="Times New Roman" w:hAnsi="Times New Roman"/>
                <w:bCs/>
                <w:color w:val="auto"/>
                <w:sz w:val="24"/>
                <w:szCs w:val="24"/>
                <w:highlight w:val="none"/>
              </w:rPr>
            </w:pPr>
            <w:r>
              <w:rPr>
                <w:rFonts w:hint="eastAsia" w:ascii="Times New Roman" w:hAnsi="Times New Roman"/>
                <w:bCs/>
                <w:color w:val="auto"/>
                <w:sz w:val="24"/>
                <w:szCs w:val="24"/>
                <w:highlight w:val="none"/>
              </w:rPr>
              <w:t>（</w:t>
            </w:r>
            <w:r>
              <w:rPr>
                <w:rFonts w:ascii="Times New Roman" w:hAnsi="Times New Roman"/>
                <w:bCs/>
                <w:color w:val="auto"/>
                <w:sz w:val="24"/>
                <w:szCs w:val="24"/>
                <w:highlight w:val="none"/>
              </w:rPr>
              <w:t>9</w:t>
            </w:r>
            <w:r>
              <w:rPr>
                <w:rFonts w:hint="eastAsia" w:ascii="Times New Roman" w:hAnsi="Times New Roman"/>
                <w:bCs/>
                <w:color w:val="auto"/>
                <w:sz w:val="24"/>
                <w:szCs w:val="24"/>
                <w:highlight w:val="none"/>
              </w:rPr>
              <w:t>）不同供应商的投标（响应）文件由同一人送达或者分发，或者不同供应商联系人为同一人或不同联系人的联系电话一致的；</w:t>
            </w:r>
          </w:p>
          <w:p w14:paraId="20D5AA13">
            <w:pPr>
              <w:spacing w:line="500" w:lineRule="exact"/>
              <w:rPr>
                <w:rFonts w:ascii="Times New Roman" w:hAnsi="Times New Roman"/>
                <w:bCs/>
                <w:color w:val="auto"/>
                <w:sz w:val="24"/>
                <w:szCs w:val="24"/>
                <w:highlight w:val="none"/>
              </w:rPr>
            </w:pPr>
            <w:r>
              <w:rPr>
                <w:rFonts w:hint="eastAsia" w:ascii="Times New Roman" w:hAnsi="Times New Roman"/>
                <w:bCs/>
                <w:color w:val="auto"/>
                <w:sz w:val="24"/>
                <w:szCs w:val="24"/>
                <w:highlight w:val="none"/>
              </w:rPr>
              <w:t>（</w:t>
            </w:r>
            <w:r>
              <w:rPr>
                <w:rFonts w:ascii="Times New Roman" w:hAnsi="Times New Roman"/>
                <w:bCs/>
                <w:color w:val="auto"/>
                <w:sz w:val="24"/>
                <w:szCs w:val="24"/>
                <w:highlight w:val="none"/>
              </w:rPr>
              <w:t>10</w:t>
            </w:r>
            <w:r>
              <w:rPr>
                <w:rFonts w:hint="eastAsia" w:ascii="Times New Roman" w:hAnsi="Times New Roman"/>
                <w:bCs/>
                <w:color w:val="auto"/>
                <w:sz w:val="24"/>
                <w:szCs w:val="24"/>
                <w:highlight w:val="none"/>
              </w:rPr>
              <w:t>）不同供应商的投标（响应）文件的内容存在两处以上细节错误一致；</w:t>
            </w:r>
          </w:p>
          <w:p w14:paraId="19DA8A40">
            <w:pPr>
              <w:spacing w:line="500" w:lineRule="exact"/>
              <w:rPr>
                <w:rFonts w:ascii="Times New Roman" w:hAnsi="Times New Roman"/>
                <w:bCs/>
                <w:color w:val="auto"/>
                <w:sz w:val="24"/>
                <w:szCs w:val="24"/>
                <w:highlight w:val="none"/>
              </w:rPr>
            </w:pPr>
            <w:r>
              <w:rPr>
                <w:rFonts w:hint="eastAsia" w:ascii="Times New Roman" w:hAnsi="Times New Roman"/>
                <w:bCs/>
                <w:color w:val="auto"/>
                <w:sz w:val="24"/>
                <w:szCs w:val="24"/>
                <w:highlight w:val="none"/>
              </w:rPr>
              <w:t>（</w:t>
            </w:r>
            <w:r>
              <w:rPr>
                <w:rFonts w:ascii="Times New Roman" w:hAnsi="Times New Roman"/>
                <w:bCs/>
                <w:color w:val="auto"/>
                <w:sz w:val="24"/>
                <w:szCs w:val="24"/>
                <w:highlight w:val="none"/>
              </w:rPr>
              <w:t>11</w:t>
            </w:r>
            <w:r>
              <w:rPr>
                <w:rFonts w:hint="eastAsia" w:ascii="Times New Roman" w:hAnsi="Times New Roman"/>
                <w:bCs/>
                <w:color w:val="auto"/>
                <w:sz w:val="24"/>
                <w:szCs w:val="24"/>
                <w:highlight w:val="none"/>
              </w:rPr>
              <w:t>）不同供应商的法定代表人、委托代理人、项目经理、项目负责人等由同一个单位缴纳社会保险或者领取报酬的；</w:t>
            </w:r>
          </w:p>
          <w:p w14:paraId="10F09A5D">
            <w:pPr>
              <w:spacing w:line="500" w:lineRule="exact"/>
              <w:rPr>
                <w:rFonts w:ascii="Times New Roman" w:hAnsi="Times New Roman"/>
                <w:bCs/>
                <w:color w:val="auto"/>
                <w:sz w:val="24"/>
                <w:szCs w:val="24"/>
                <w:highlight w:val="none"/>
              </w:rPr>
            </w:pPr>
            <w:r>
              <w:rPr>
                <w:rFonts w:hint="eastAsia" w:ascii="Times New Roman" w:hAnsi="Times New Roman"/>
                <w:bCs/>
                <w:color w:val="auto"/>
                <w:sz w:val="24"/>
                <w:szCs w:val="24"/>
                <w:highlight w:val="none"/>
              </w:rPr>
              <w:t>（</w:t>
            </w:r>
            <w:r>
              <w:rPr>
                <w:rFonts w:ascii="Times New Roman" w:hAnsi="Times New Roman"/>
                <w:bCs/>
                <w:color w:val="auto"/>
                <w:sz w:val="24"/>
                <w:szCs w:val="24"/>
                <w:highlight w:val="none"/>
              </w:rPr>
              <w:t>12</w:t>
            </w:r>
            <w:r>
              <w:rPr>
                <w:rFonts w:hint="eastAsia" w:ascii="Times New Roman" w:hAnsi="Times New Roman"/>
                <w:bCs/>
                <w:color w:val="auto"/>
                <w:sz w:val="24"/>
                <w:szCs w:val="24"/>
                <w:highlight w:val="none"/>
              </w:rPr>
              <w:t>）不同供应商投标（响应）文件中法定代表人或者负责人签字出自同一人之手；</w:t>
            </w:r>
          </w:p>
          <w:p w14:paraId="2B0D5CD3">
            <w:pPr>
              <w:spacing w:line="500" w:lineRule="exact"/>
              <w:rPr>
                <w:rFonts w:ascii="Times New Roman" w:hAnsi="Times New Roman"/>
                <w:color w:val="auto"/>
                <w:kern w:val="0"/>
                <w:sz w:val="24"/>
                <w:szCs w:val="24"/>
                <w:highlight w:val="none"/>
              </w:rPr>
            </w:pPr>
            <w:r>
              <w:rPr>
                <w:rFonts w:hint="eastAsia" w:ascii="Times New Roman" w:hAnsi="Times New Roman"/>
                <w:bCs/>
                <w:color w:val="auto"/>
                <w:sz w:val="24"/>
                <w:szCs w:val="24"/>
                <w:highlight w:val="none"/>
              </w:rPr>
              <w:t>（</w:t>
            </w:r>
            <w:r>
              <w:rPr>
                <w:rFonts w:ascii="Times New Roman" w:hAnsi="Times New Roman"/>
                <w:bCs/>
                <w:color w:val="auto"/>
                <w:sz w:val="24"/>
                <w:szCs w:val="24"/>
                <w:highlight w:val="none"/>
              </w:rPr>
              <w:t>13</w:t>
            </w:r>
            <w:r>
              <w:rPr>
                <w:rFonts w:hint="eastAsia" w:ascii="Times New Roman" w:hAnsi="Times New Roman"/>
                <w:bCs/>
                <w:color w:val="auto"/>
                <w:sz w:val="24"/>
                <w:szCs w:val="24"/>
                <w:highlight w:val="none"/>
              </w:rPr>
              <w:t>）其它涉嫌串通的情形。</w:t>
            </w:r>
          </w:p>
        </w:tc>
      </w:tr>
      <w:tr w14:paraId="45529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658" w:type="dxa"/>
            <w:gridSpan w:val="3"/>
            <w:vAlign w:val="center"/>
          </w:tcPr>
          <w:p w14:paraId="73CC1ADB">
            <w:pPr>
              <w:spacing w:line="400" w:lineRule="exact"/>
              <w:rPr>
                <w:rFonts w:ascii="Times New Roman" w:hAnsi="Times New Roman"/>
                <w:b/>
                <w:bCs/>
                <w:color w:val="auto"/>
                <w:sz w:val="24"/>
                <w:szCs w:val="24"/>
                <w:highlight w:val="none"/>
                <w:shd w:val="clear" w:color="auto" w:fill="FFFFFF"/>
                <w:lang w:bidi="ar"/>
              </w:rPr>
            </w:pPr>
            <w:r>
              <w:rPr>
                <w:rFonts w:hint="eastAsia" w:ascii="Times New Roman" w:hAnsi="Times New Roman"/>
                <w:b/>
                <w:bCs/>
                <w:color w:val="auto"/>
                <w:sz w:val="24"/>
                <w:szCs w:val="24"/>
                <w:highlight w:val="none"/>
                <w:shd w:val="clear" w:color="auto" w:fill="FFFFFF"/>
                <w:lang w:bidi="ar"/>
              </w:rPr>
              <w:t>电子化交易注意事项</w:t>
            </w:r>
          </w:p>
        </w:tc>
      </w:tr>
      <w:tr w14:paraId="326AB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8658" w:type="dxa"/>
            <w:gridSpan w:val="3"/>
          </w:tcPr>
          <w:p w14:paraId="564B3280">
            <w:pPr>
              <w:spacing w:line="360" w:lineRule="auto"/>
              <w:rPr>
                <w:rFonts w:ascii="Times New Roman" w:hAnsi="Times New Roman"/>
                <w:color w:val="auto"/>
                <w:sz w:val="24"/>
                <w:szCs w:val="24"/>
                <w:highlight w:val="none"/>
              </w:rPr>
            </w:pPr>
            <w:r>
              <w:rPr>
                <w:rFonts w:hint="eastAsia" w:ascii="Times New Roman" w:hAnsi="Times New Roman"/>
                <w:color w:val="auto"/>
                <w:sz w:val="24"/>
                <w:szCs w:val="24"/>
                <w:highlight w:val="none"/>
              </w:rPr>
              <w:t>本项目为电子化、无纸化交易项目，投标文件是投标人、响应人（以下简称“投标人”）通过中心投标文件制作系统制作，并经过签章和加密后生成的电子版投标文件。</w:t>
            </w:r>
          </w:p>
          <w:p w14:paraId="5BE4E1F9">
            <w:pPr>
              <w:spacing w:line="360" w:lineRule="auto"/>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电子化投标文件具体制作文件请点击</w:t>
            </w:r>
            <w:r>
              <w:rPr>
                <w:rFonts w:ascii="Times New Roman" w:hAnsi="Times New Roman"/>
                <w:color w:val="auto"/>
                <w:sz w:val="24"/>
                <w:szCs w:val="24"/>
                <w:highlight w:val="none"/>
              </w:rPr>
              <w:t>https</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//download.bqpoint.com/download/downloaddetail.html?SourceFrom=Ztb&amp;ZtbSoftXiaQuCode=1506&amp;ZtbSoftType=tballinclusive</w:t>
            </w:r>
            <w:r>
              <w:rPr>
                <w:rFonts w:hint="eastAsia" w:ascii="Times New Roman" w:hAnsi="Times New Roman"/>
                <w:color w:val="auto"/>
                <w:sz w:val="24"/>
                <w:szCs w:val="24"/>
                <w:highlight w:val="none"/>
              </w:rPr>
              <w:t>进行下载。</w:t>
            </w:r>
          </w:p>
          <w:p w14:paraId="6EEF2128">
            <w:pPr>
              <w:spacing w:line="360" w:lineRule="auto"/>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温馨提示：本项目为电子化、无纸化交易项目，为保证您能投标成功，请需仔细阅读以下条款。</w:t>
            </w:r>
          </w:p>
          <w:p w14:paraId="2DAFD625">
            <w:pPr>
              <w:spacing w:line="360" w:lineRule="auto"/>
              <w:rPr>
                <w:rFonts w:ascii="Times New Roman" w:hAnsi="Times New Roman"/>
                <w:color w:val="auto"/>
                <w:sz w:val="24"/>
                <w:szCs w:val="24"/>
                <w:highlight w:val="none"/>
              </w:rPr>
            </w:pPr>
            <w:r>
              <w:rPr>
                <w:rFonts w:hint="eastAsia" w:ascii="Times New Roman" w:hAnsi="Times New Roman"/>
                <w:color w:val="auto"/>
                <w:sz w:val="24"/>
                <w:szCs w:val="24"/>
                <w:highlight w:val="none"/>
              </w:rPr>
              <w:t>一、电子化投标</w:t>
            </w:r>
          </w:p>
          <w:p w14:paraId="7469C0AF">
            <w:pPr>
              <w:spacing w:line="360" w:lineRule="auto"/>
              <w:rPr>
                <w:rFonts w:ascii="Times New Roman" w:hAnsi="Times New Roman"/>
                <w:color w:val="auto"/>
                <w:sz w:val="24"/>
                <w:szCs w:val="24"/>
                <w:highlight w:val="none"/>
              </w:rPr>
            </w:pPr>
            <w:r>
              <w:rPr>
                <w:rFonts w:hint="eastAsia" w:ascii="Times New Roman" w:hAnsi="Times New Roman"/>
                <w:color w:val="auto"/>
                <w:sz w:val="24"/>
                <w:szCs w:val="24"/>
                <w:highlight w:val="none"/>
              </w:rPr>
              <w:t>（一）电子化投标文件的签章</w:t>
            </w:r>
          </w:p>
          <w:p w14:paraId="4F7A91DA">
            <w:pPr>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1</w:t>
            </w:r>
            <w:r>
              <w:rPr>
                <w:rFonts w:hint="eastAsia" w:ascii="Times New Roman" w:hAnsi="Times New Roman"/>
                <w:color w:val="auto"/>
                <w:sz w:val="24"/>
                <w:szCs w:val="24"/>
                <w:highlight w:val="none"/>
              </w:rPr>
              <w:t>、投标人在生成电子化投标文件后，应对电子化投标文件进行签章，未进行签章的视为无效投标。</w:t>
            </w:r>
          </w:p>
          <w:p w14:paraId="00276CF5">
            <w:pPr>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2</w:t>
            </w:r>
            <w:r>
              <w:rPr>
                <w:rFonts w:hint="eastAsia" w:ascii="Times New Roman" w:hAnsi="Times New Roman"/>
                <w:color w:val="auto"/>
                <w:sz w:val="24"/>
                <w:szCs w:val="24"/>
                <w:highlight w:val="none"/>
              </w:rPr>
              <w:t>、招标文件中要求法定代表人或授权委托人电子签章的，投标人在进行电子化投标文件签章时，以签盖法定代表人签章为准。</w:t>
            </w:r>
          </w:p>
          <w:p w14:paraId="7CBF0ED5">
            <w:pPr>
              <w:spacing w:line="360" w:lineRule="auto"/>
              <w:rPr>
                <w:rFonts w:ascii="Times New Roman" w:hAnsi="Times New Roman"/>
                <w:color w:val="auto"/>
                <w:sz w:val="24"/>
                <w:szCs w:val="24"/>
                <w:highlight w:val="none"/>
              </w:rPr>
            </w:pPr>
            <w:r>
              <w:rPr>
                <w:rFonts w:hint="eastAsia" w:ascii="Times New Roman" w:hAnsi="Times New Roman"/>
                <w:color w:val="auto"/>
                <w:sz w:val="24"/>
                <w:szCs w:val="24"/>
                <w:highlight w:val="none"/>
              </w:rPr>
              <w:t>（二）电子化投标文件的格式及上传投标</w:t>
            </w:r>
          </w:p>
          <w:p w14:paraId="20AB11C9">
            <w:pPr>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1</w:t>
            </w:r>
            <w:r>
              <w:rPr>
                <w:rFonts w:hint="eastAsia" w:ascii="Times New Roman" w:hAnsi="Times New Roman"/>
                <w:color w:val="auto"/>
                <w:sz w:val="24"/>
                <w:szCs w:val="24"/>
                <w:highlight w:val="none"/>
              </w:rPr>
              <w:t>、投标人所上传的电子化投标文件，应是通过中心投标文件制作系统制作的（投标文件制作工具下载地址：</w:t>
            </w:r>
            <w:r>
              <w:rPr>
                <w:rFonts w:ascii="Times New Roman" w:hAnsi="Times New Roman"/>
                <w:color w:val="auto"/>
                <w:sz w:val="24"/>
                <w:szCs w:val="24"/>
                <w:highlight w:val="none"/>
              </w:rPr>
              <w:t>https</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//download.bqpoint.com/download/downloaddetail.html?SourceFrom=Ztb&amp;ZtbSoftXiaQuCode=1506&amp;ZtbSoftType=tballinclusive</w:t>
            </w:r>
            <w:r>
              <w:rPr>
                <w:rFonts w:hint="eastAsia" w:ascii="Times New Roman" w:hAnsi="Times New Roman"/>
                <w:color w:val="auto"/>
                <w:sz w:val="24"/>
                <w:szCs w:val="24"/>
                <w:highlight w:val="none"/>
              </w:rPr>
              <w:t>），经过签章和加密后生成的电子版投标文件。其中包含用于投标文件上传的主文件（后缀为</w:t>
            </w:r>
            <w:r>
              <w:rPr>
                <w:rFonts w:ascii="Times New Roman" w:hAnsi="Times New Roman"/>
                <w:color w:val="auto"/>
                <w:sz w:val="24"/>
                <w:szCs w:val="24"/>
                <w:highlight w:val="none"/>
              </w:rPr>
              <w:t>.smxtf</w:t>
            </w:r>
            <w:r>
              <w:rPr>
                <w:rFonts w:hint="eastAsia" w:ascii="Times New Roman" w:hAnsi="Times New Roman"/>
                <w:color w:val="auto"/>
                <w:sz w:val="24"/>
                <w:szCs w:val="24"/>
                <w:highlight w:val="none"/>
              </w:rPr>
              <w:t>）和用于应急补救的投标文件备份文件（后缀为</w:t>
            </w:r>
            <w:r>
              <w:rPr>
                <w:rFonts w:ascii="Times New Roman" w:hAnsi="Times New Roman"/>
                <w:color w:val="auto"/>
                <w:sz w:val="24"/>
                <w:szCs w:val="24"/>
                <w:highlight w:val="none"/>
              </w:rPr>
              <w:t>.nsmxtf</w:t>
            </w:r>
            <w:r>
              <w:rPr>
                <w:rFonts w:hint="eastAsia" w:ascii="Times New Roman" w:hAnsi="Times New Roman"/>
                <w:color w:val="auto"/>
                <w:sz w:val="24"/>
                <w:szCs w:val="24"/>
                <w:highlight w:val="none"/>
              </w:rPr>
              <w:t>）。备份文件主要用于电子化开标出现技术问题后的补救，请投标人随身携带。</w:t>
            </w:r>
          </w:p>
          <w:p w14:paraId="3CBD5B00">
            <w:pPr>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2</w:t>
            </w:r>
            <w:r>
              <w:rPr>
                <w:rFonts w:hint="eastAsia" w:ascii="Times New Roman" w:hAnsi="Times New Roman"/>
                <w:color w:val="auto"/>
                <w:sz w:val="24"/>
                <w:szCs w:val="24"/>
                <w:highlight w:val="none"/>
              </w:rPr>
              <w:t>、电子化投标文件应在投标截止时间前成功上传至三门峡市公共资源电子化交易系统。至投标截止时间止，仍未上传成功的电子化投标文件将不予接收。</w:t>
            </w:r>
          </w:p>
          <w:p w14:paraId="209BDE30">
            <w:pPr>
              <w:spacing w:line="360" w:lineRule="auto"/>
              <w:rPr>
                <w:rFonts w:ascii="Times New Roman" w:hAnsi="Times New Roman"/>
                <w:color w:val="auto"/>
                <w:sz w:val="24"/>
                <w:szCs w:val="24"/>
                <w:highlight w:val="none"/>
              </w:rPr>
            </w:pPr>
            <w:r>
              <w:rPr>
                <w:rFonts w:hint="eastAsia" w:ascii="Times New Roman" w:hAnsi="Times New Roman"/>
                <w:color w:val="auto"/>
                <w:sz w:val="24"/>
                <w:szCs w:val="24"/>
                <w:highlight w:val="none"/>
              </w:rPr>
              <w:t>注：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p>
          <w:p w14:paraId="227B08F9">
            <w:pPr>
              <w:autoSpaceDE w:val="0"/>
              <w:autoSpaceDN w:val="0"/>
              <w:spacing w:before="210" w:line="360" w:lineRule="auto"/>
              <w:ind w:right="63"/>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技术联系电话：</w:t>
            </w:r>
            <w:r>
              <w:rPr>
                <w:rFonts w:ascii="Times New Roman" w:hAnsi="Times New Roman"/>
                <w:bCs/>
                <w:color w:val="auto"/>
                <w:spacing w:val="-2"/>
                <w:kern w:val="0"/>
                <w:sz w:val="24"/>
                <w:szCs w:val="24"/>
                <w:highlight w:val="none"/>
              </w:rPr>
              <w:t>0398-3117871</w:t>
            </w:r>
          </w:p>
          <w:p w14:paraId="4F369035">
            <w:pPr>
              <w:spacing w:line="360" w:lineRule="auto"/>
              <w:rPr>
                <w:rFonts w:ascii="Times New Roman" w:hAnsi="Times New Roman"/>
                <w:color w:val="auto"/>
                <w:sz w:val="24"/>
                <w:szCs w:val="24"/>
                <w:highlight w:val="none"/>
              </w:rPr>
            </w:pPr>
            <w:r>
              <w:rPr>
                <w:rFonts w:hint="eastAsia" w:ascii="Times New Roman" w:hAnsi="Times New Roman"/>
                <w:color w:val="auto"/>
                <w:sz w:val="24"/>
                <w:szCs w:val="24"/>
                <w:highlight w:val="none"/>
              </w:rPr>
              <w:t>（三）电子化项目开标、解密、唱标、评标</w:t>
            </w:r>
          </w:p>
          <w:p w14:paraId="131CE40E">
            <w:pPr>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1</w:t>
            </w:r>
            <w:r>
              <w:rPr>
                <w:rFonts w:hint="eastAsia" w:ascii="Times New Roman" w:hAnsi="Times New Roman"/>
                <w:color w:val="auto"/>
                <w:sz w:val="24"/>
                <w:szCs w:val="24"/>
                <w:highlight w:val="none"/>
              </w:rPr>
              <w:t>、本项目采用电子化、无纸化进行招标，开标当日，投标人无需到开标现场参加开标会议，投标人应当在投标截止时间前，登陆不见面开标大厅选择登陆三门峡市公共资源电子招投标系统进行登陆（网址为</w:t>
            </w:r>
            <w:r>
              <w:rPr>
                <w:rFonts w:ascii="Times New Roman" w:hAnsi="Times New Roman"/>
                <w:color w:val="auto"/>
                <w:sz w:val="24"/>
                <w:szCs w:val="24"/>
                <w:highlight w:val="none"/>
                <w:u w:val="single"/>
              </w:rPr>
              <w:t>http</w:t>
            </w:r>
            <w:r>
              <w:rPr>
                <w:rFonts w:hint="eastAsia" w:ascii="Times New Roman" w:hAnsi="Times New Roman"/>
                <w:color w:val="auto"/>
                <w:sz w:val="24"/>
                <w:szCs w:val="24"/>
                <w:highlight w:val="none"/>
                <w:u w:val="single"/>
              </w:rPr>
              <w:t>:</w:t>
            </w:r>
            <w:r>
              <w:rPr>
                <w:rFonts w:ascii="Times New Roman" w:hAnsi="Times New Roman"/>
                <w:color w:val="auto"/>
                <w:sz w:val="24"/>
                <w:szCs w:val="24"/>
                <w:highlight w:val="none"/>
                <w:u w:val="single"/>
              </w:rPr>
              <w:t>//120.194.249.36</w:t>
            </w:r>
            <w:r>
              <w:rPr>
                <w:rFonts w:hint="eastAsia" w:ascii="Times New Roman" w:hAnsi="Times New Roman"/>
                <w:color w:val="auto"/>
                <w:sz w:val="24"/>
                <w:szCs w:val="24"/>
                <w:highlight w:val="none"/>
                <w:u w:val="single"/>
              </w:rPr>
              <w:t>:</w:t>
            </w:r>
            <w:r>
              <w:rPr>
                <w:rFonts w:ascii="Times New Roman" w:hAnsi="Times New Roman"/>
                <w:color w:val="auto"/>
                <w:sz w:val="24"/>
                <w:szCs w:val="24"/>
                <w:highlight w:val="none"/>
                <w:u w:val="single"/>
              </w:rPr>
              <w:t>10094/BidOpening/bidopeninghallaction/hall/login</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w:t>
            </w:r>
            <w:r>
              <w:rPr>
                <w:rFonts w:hint="eastAsia" w:ascii="Times New Roman" w:hAnsi="Times New Roman"/>
                <w:color w:val="auto"/>
                <w:sz w:val="24"/>
                <w:szCs w:val="24"/>
                <w:highlight w:val="none"/>
              </w:rPr>
              <w:t>在线准时参加开标活动并进行投标文件解密等</w:t>
            </w:r>
          </w:p>
          <w:p w14:paraId="6FA1D23D">
            <w:pPr>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2</w:t>
            </w:r>
            <w:r>
              <w:rPr>
                <w:rFonts w:hint="eastAsia" w:ascii="Times New Roman" w:hAnsi="Times New Roman"/>
                <w:color w:val="auto"/>
                <w:sz w:val="24"/>
                <w:szCs w:val="24"/>
                <w:highlight w:val="none"/>
              </w:rPr>
              <w:t>、电子化投标文件采用一次加密方式。开标时，由投标人使用</w:t>
            </w:r>
            <w:r>
              <w:rPr>
                <w:rFonts w:ascii="Times New Roman" w:hAnsi="Times New Roman"/>
                <w:color w:val="auto"/>
                <w:sz w:val="24"/>
                <w:szCs w:val="24"/>
                <w:highlight w:val="none"/>
              </w:rPr>
              <w:t xml:space="preserve">CA </w:t>
            </w:r>
            <w:r>
              <w:rPr>
                <w:rFonts w:hint="eastAsia" w:ascii="Times New Roman" w:hAnsi="Times New Roman"/>
                <w:color w:val="auto"/>
                <w:sz w:val="24"/>
                <w:szCs w:val="24"/>
                <w:highlight w:val="none"/>
              </w:rPr>
              <w:t>证书，在规定时间内对其电子化投标文件进行解密。每位投标人的解密时间为开标时间起</w:t>
            </w:r>
            <w:r>
              <w:rPr>
                <w:rFonts w:ascii="Times New Roman" w:hAnsi="Times New Roman"/>
                <w:color w:val="auto"/>
                <w:sz w:val="24"/>
                <w:szCs w:val="24"/>
                <w:highlight w:val="none"/>
              </w:rPr>
              <w:t xml:space="preserve">30 </w:t>
            </w:r>
            <w:r>
              <w:rPr>
                <w:rFonts w:hint="eastAsia" w:ascii="Times New Roman" w:hAnsi="Times New Roman"/>
                <w:color w:val="auto"/>
                <w:sz w:val="24"/>
                <w:szCs w:val="24"/>
                <w:highlight w:val="none"/>
              </w:rPr>
              <w:t>分钟内，如在规定时间内未完成解密的，其投标文件不予开标、唱标。</w:t>
            </w:r>
          </w:p>
          <w:p w14:paraId="2CC81EA7">
            <w:pPr>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3</w:t>
            </w:r>
            <w:r>
              <w:rPr>
                <w:rFonts w:hint="eastAsia" w:ascii="Times New Roman" w:hAnsi="Times New Roman"/>
                <w:color w:val="auto"/>
                <w:sz w:val="24"/>
                <w:szCs w:val="24"/>
                <w:highlight w:val="none"/>
              </w:rPr>
              <w:t>、电子化投标文件解密异常的处理</w:t>
            </w:r>
          </w:p>
          <w:p w14:paraId="144CC770">
            <w:pPr>
              <w:spacing w:line="360" w:lineRule="auto"/>
              <w:rPr>
                <w:rFonts w:ascii="Times New Roman" w:hAnsi="Times New Roman"/>
                <w:color w:val="auto"/>
                <w:sz w:val="24"/>
                <w:szCs w:val="24"/>
                <w:highlight w:val="none"/>
              </w:rPr>
            </w:pPr>
            <w:r>
              <w:rPr>
                <w:rFonts w:hint="eastAsia" w:ascii="Times New Roman" w:hAnsi="Times New Roman"/>
                <w:color w:val="auto"/>
                <w:sz w:val="24"/>
                <w:szCs w:val="24"/>
                <w:highlight w:val="none"/>
              </w:rPr>
              <w:t>如出现投标人的电子投标文件无法解密等异常情况，投标人应及时致电中介服务机构说明。投标文件异常，按以下步骤进行处理：</w:t>
            </w:r>
          </w:p>
          <w:p w14:paraId="7188C574">
            <w:pPr>
              <w:spacing w:line="360" w:lineRule="auto"/>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1</w:t>
            </w:r>
            <w:r>
              <w:rPr>
                <w:rFonts w:hint="eastAsia" w:ascii="Times New Roman" w:hAnsi="Times New Roman"/>
                <w:color w:val="auto"/>
                <w:sz w:val="24"/>
                <w:szCs w:val="24"/>
                <w:highlight w:val="none"/>
              </w:rPr>
              <w:t>）首先由技术人员进行问题排查。</w:t>
            </w:r>
          </w:p>
          <w:p w14:paraId="2DC0AEFA">
            <w:pPr>
              <w:spacing w:line="360" w:lineRule="auto"/>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2</w:t>
            </w:r>
            <w:r>
              <w:rPr>
                <w:rFonts w:hint="eastAsia" w:ascii="Times New Roman" w:hAnsi="Times New Roman"/>
                <w:color w:val="auto"/>
                <w:sz w:val="24"/>
                <w:szCs w:val="24"/>
                <w:highlight w:val="none"/>
              </w:rPr>
              <w:t>）经技术人员排查后，是投标人文件自身问题导致投标文件无法解密的，该投标文件将不予接收、解密和唱标。开标会议继续进行。</w:t>
            </w:r>
          </w:p>
          <w:p w14:paraId="785D61B8">
            <w:pPr>
              <w:spacing w:line="360" w:lineRule="auto"/>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3</w:t>
            </w:r>
            <w:r>
              <w:rPr>
                <w:rFonts w:hint="eastAsia" w:ascii="Times New Roman" w:hAnsi="Times New Roman"/>
                <w:color w:val="auto"/>
                <w:sz w:val="24"/>
                <w:szCs w:val="24"/>
                <w:highlight w:val="none"/>
              </w:rPr>
              <w:t>）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13D7A948">
            <w:pPr>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4</w:t>
            </w:r>
            <w:r>
              <w:rPr>
                <w:rFonts w:hint="eastAsia" w:ascii="Times New Roman" w:hAnsi="Times New Roman"/>
                <w:color w:val="auto"/>
                <w:sz w:val="24"/>
                <w:szCs w:val="24"/>
                <w:highlight w:val="none"/>
              </w:rPr>
              <w:t>、待所有投标人投标文件解密完成后，由中介服务机构操作，对所有已解密投标文件进行唱标。</w:t>
            </w:r>
          </w:p>
          <w:p w14:paraId="72A0FFE0">
            <w:pPr>
              <w:spacing w:line="360" w:lineRule="auto"/>
              <w:rPr>
                <w:rFonts w:ascii="Times New Roman" w:hAnsi="Times New Roman"/>
                <w:color w:val="auto"/>
                <w:sz w:val="24"/>
                <w:szCs w:val="24"/>
                <w:highlight w:val="none"/>
              </w:rPr>
            </w:pPr>
            <w:r>
              <w:rPr>
                <w:rFonts w:hint="eastAsia" w:ascii="Times New Roman" w:hAnsi="Times New Roman"/>
                <w:color w:val="auto"/>
                <w:sz w:val="24"/>
                <w:szCs w:val="24"/>
                <w:highlight w:val="none"/>
              </w:rPr>
              <w:t>投标人应保证在开标期间电话、电脑、网络能够正常工作，投标人因停电、电脑病毒、网络堵塞等原因，未在规定的解密时间内对投标文件进行解密的，其投标文件不予接收、唱标。</w:t>
            </w:r>
          </w:p>
          <w:p w14:paraId="2096AB42">
            <w:pPr>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5</w:t>
            </w:r>
            <w:r>
              <w:rPr>
                <w:rFonts w:hint="eastAsia" w:ascii="Times New Roman" w:hAnsi="Times New Roman"/>
                <w:color w:val="auto"/>
                <w:sz w:val="24"/>
                <w:szCs w:val="24"/>
                <w:highlight w:val="none"/>
              </w:rPr>
              <w:t>、开标时投标人可登录到交易系统中在开标解密栏中点击报价一览表查看自己的投标报价。如对自己的唱标内容有异议的，应在投标人解密成功后</w:t>
            </w:r>
            <w:r>
              <w:rPr>
                <w:rFonts w:ascii="Times New Roman" w:hAnsi="Times New Roman"/>
                <w:color w:val="auto"/>
                <w:sz w:val="24"/>
                <w:szCs w:val="24"/>
                <w:highlight w:val="none"/>
              </w:rPr>
              <w:t>10</w:t>
            </w:r>
            <w:r>
              <w:rPr>
                <w:rFonts w:hint="eastAsia" w:ascii="Times New Roman" w:hAnsi="Times New Roman"/>
                <w:color w:val="auto"/>
                <w:sz w:val="24"/>
                <w:szCs w:val="24"/>
                <w:highlight w:val="none"/>
              </w:rPr>
              <w:t>分钟内向中介服务机构电话质疑。中介服务机构应在监督人员的监督下进行免提通话接受投标人的质疑并做好书面记录。投标人未在规定时间内提出质疑的，视为认可唱标内容。</w:t>
            </w:r>
          </w:p>
          <w:p w14:paraId="2F6E85B1">
            <w:pPr>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6</w:t>
            </w:r>
            <w:r>
              <w:rPr>
                <w:rFonts w:hint="eastAsia" w:ascii="Times New Roman" w:hAnsi="Times New Roman"/>
                <w:color w:val="auto"/>
                <w:sz w:val="24"/>
                <w:szCs w:val="24"/>
                <w:highlight w:val="none"/>
              </w:rPr>
              <w:t>、评标时，评标委员会对电子化投标文件有质疑的，将通过电子化交易系统对投标人发起质疑，并在监督人员的监督下，用免提模式致电需要答复的投标人对质疑进行回复。投标人的回复文件必须以经过投标人和其法定代表人签章的</w:t>
            </w:r>
            <w:r>
              <w:rPr>
                <w:rFonts w:ascii="Times New Roman" w:hAnsi="Times New Roman"/>
                <w:color w:val="auto"/>
                <w:sz w:val="24"/>
                <w:szCs w:val="24"/>
                <w:highlight w:val="none"/>
              </w:rPr>
              <w:t>PDF</w:t>
            </w:r>
            <w:r>
              <w:rPr>
                <w:rFonts w:hint="eastAsia" w:ascii="Times New Roman" w:hAnsi="Times New Roman"/>
                <w:color w:val="auto"/>
                <w:sz w:val="24"/>
                <w:szCs w:val="24"/>
                <w:highlight w:val="none"/>
              </w:rPr>
              <w:t>格式文件为准，并通过电子化交易系统提交至评标委员会。</w:t>
            </w:r>
          </w:p>
          <w:p w14:paraId="43FD0825">
            <w:pPr>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7</w:t>
            </w:r>
            <w:r>
              <w:rPr>
                <w:rFonts w:hint="eastAsia" w:ascii="Times New Roman" w:hAnsi="Times New Roman"/>
                <w:color w:val="auto"/>
                <w:sz w:val="24"/>
                <w:szCs w:val="24"/>
                <w:highlight w:val="none"/>
              </w:rPr>
              <w:t>、如评标委员会对需要回复的投标人连续三次致电未接通的，视为投标人放弃回复，评标委员会将自行对需要回复的内容进行认定。</w:t>
            </w:r>
          </w:p>
          <w:p w14:paraId="71EF89E8">
            <w:pPr>
              <w:spacing w:line="360" w:lineRule="auto"/>
              <w:rPr>
                <w:rFonts w:ascii="Times New Roman" w:hAnsi="Times New Roman"/>
                <w:color w:val="auto"/>
                <w:sz w:val="24"/>
                <w:szCs w:val="24"/>
                <w:highlight w:val="none"/>
              </w:rPr>
            </w:pPr>
            <w:r>
              <w:rPr>
                <w:rFonts w:hint="eastAsia" w:ascii="Times New Roman" w:hAnsi="Times New Roman"/>
                <w:color w:val="auto"/>
                <w:sz w:val="24"/>
                <w:szCs w:val="24"/>
                <w:highlight w:val="none"/>
              </w:rPr>
              <w:t>二、投标文件的提交</w:t>
            </w:r>
          </w:p>
          <w:p w14:paraId="21D930FE">
            <w:pPr>
              <w:wordWrap w:val="0"/>
              <w:spacing w:line="360" w:lineRule="auto"/>
              <w:rPr>
                <w:rFonts w:ascii="Times New Roman" w:hAnsi="Times New Roman"/>
                <w:color w:val="auto"/>
                <w:sz w:val="24"/>
                <w:szCs w:val="24"/>
                <w:highlight w:val="none"/>
              </w:rPr>
            </w:pPr>
            <w:r>
              <w:rPr>
                <w:rFonts w:hint="eastAsia" w:ascii="Times New Roman" w:hAnsi="Times New Roman"/>
                <w:color w:val="auto"/>
                <w:sz w:val="24"/>
                <w:szCs w:val="24"/>
                <w:highlight w:val="none"/>
              </w:rPr>
              <w:t>本项目实行后审，审查内容以投标截止时间前在三门峡市公共资源交易系统上传的投标文件的信息为准。其上传资料真实性由投标人自行承担，同时，投标人需要完善主体库信息。</w:t>
            </w:r>
            <w:r>
              <w:rPr>
                <w:rFonts w:hint="eastAsia" w:ascii="Times New Roman" w:hAnsi="Times New Roman"/>
                <w:b/>
                <w:bCs/>
                <w:color w:val="auto"/>
                <w:sz w:val="24"/>
                <w:szCs w:val="24"/>
                <w:highlight w:val="none"/>
              </w:rPr>
              <w:t>（注：评标过程中若主体库资料显示不全面，不得作为废标的依据）</w:t>
            </w:r>
          </w:p>
          <w:p w14:paraId="6870A354">
            <w:pPr>
              <w:spacing w:line="360" w:lineRule="auto"/>
              <w:ind w:firstLine="480" w:firstLineChars="200"/>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rPr>
              <w:t>提示：本项目为电子化、无纸化交易项目，为保证您能投标成功，请需仔细阅读以上条款。</w:t>
            </w:r>
          </w:p>
        </w:tc>
      </w:tr>
    </w:tbl>
    <w:p w14:paraId="23CD272C">
      <w:pPr>
        <w:spacing w:line="517" w:lineRule="exact"/>
        <w:jc w:val="center"/>
        <w:outlineLvl w:val="1"/>
        <w:rPr>
          <w:rFonts w:ascii="Times New Roman" w:hAnsi="Times New Roman"/>
          <w:b/>
          <w:bCs/>
          <w:color w:val="auto"/>
          <w:sz w:val="24"/>
          <w:szCs w:val="32"/>
          <w:highlight w:val="none"/>
          <w:shd w:val="clear" w:color="auto" w:fill="FFFFFF"/>
          <w:lang w:val="zh-CN" w:bidi="zh-CN"/>
        </w:rPr>
      </w:pPr>
      <w:bookmarkStart w:id="16" w:name="_Toc176358318"/>
      <w:r>
        <w:rPr>
          <w:rFonts w:hint="eastAsia" w:ascii="Times New Roman" w:hAnsi="Times New Roman"/>
          <w:b/>
          <w:bCs/>
          <w:color w:val="auto"/>
          <w:sz w:val="24"/>
          <w:szCs w:val="28"/>
          <w:highlight w:val="none"/>
          <w:shd w:val="clear" w:color="auto" w:fill="FFFFFF"/>
          <w:lang w:bidi="ar"/>
        </w:rPr>
        <w:t>一、</w:t>
      </w:r>
      <w:r>
        <w:rPr>
          <w:rFonts w:hint="eastAsia" w:ascii="Times New Roman" w:hAnsi="Times New Roman"/>
          <w:b/>
          <w:bCs/>
          <w:color w:val="auto"/>
          <w:sz w:val="24"/>
          <w:szCs w:val="32"/>
          <w:highlight w:val="none"/>
          <w:shd w:val="clear" w:color="auto" w:fill="FFFFFF"/>
          <w:lang w:val="zh-CN" w:bidi="zh-CN"/>
        </w:rPr>
        <w:t>总则</w:t>
      </w:r>
      <w:bookmarkEnd w:id="16"/>
    </w:p>
    <w:p w14:paraId="0FDC7BF6">
      <w:pPr>
        <w:keepNext/>
        <w:keepLines/>
        <w:spacing w:line="360" w:lineRule="auto"/>
        <w:jc w:val="left"/>
        <w:outlineLvl w:val="2"/>
        <w:rPr>
          <w:rFonts w:ascii="Times New Roman" w:hAnsi="Times New Roman"/>
          <w:b/>
          <w:bCs/>
          <w:color w:val="auto"/>
          <w:sz w:val="24"/>
          <w:szCs w:val="24"/>
          <w:highlight w:val="none"/>
        </w:rPr>
      </w:pPr>
      <w:bookmarkStart w:id="17" w:name="_Toc170287616"/>
      <w:bookmarkStart w:id="18" w:name="_Toc113891900"/>
      <w:bookmarkStart w:id="19" w:name="_Toc176358319"/>
      <w:bookmarkStart w:id="20" w:name="_Toc170287268"/>
      <w:bookmarkStart w:id="21" w:name="_Toc113892412"/>
      <w:bookmarkStart w:id="22" w:name="_Toc151210111"/>
      <w:r>
        <w:rPr>
          <w:rFonts w:ascii="Times New Roman" w:hAnsi="Times New Roman"/>
          <w:b/>
          <w:bCs/>
          <w:color w:val="auto"/>
          <w:sz w:val="24"/>
          <w:szCs w:val="24"/>
          <w:highlight w:val="none"/>
        </w:rPr>
        <w:t>1</w:t>
      </w:r>
      <w:r>
        <w:rPr>
          <w:rFonts w:hint="eastAsia" w:ascii="Times New Roman" w:hAnsi="Times New Roman"/>
          <w:b/>
          <w:bCs/>
          <w:color w:val="auto"/>
          <w:sz w:val="24"/>
          <w:szCs w:val="24"/>
          <w:highlight w:val="none"/>
        </w:rPr>
        <w:t>、适用范围</w:t>
      </w:r>
      <w:bookmarkEnd w:id="17"/>
      <w:bookmarkEnd w:id="18"/>
      <w:bookmarkEnd w:id="19"/>
      <w:bookmarkEnd w:id="20"/>
      <w:bookmarkEnd w:id="21"/>
      <w:bookmarkEnd w:id="22"/>
    </w:p>
    <w:p w14:paraId="03DB01F3">
      <w:pPr>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1.1</w:t>
      </w:r>
      <w:r>
        <w:rPr>
          <w:rFonts w:hint="eastAsia" w:ascii="Times New Roman" w:hAnsi="Times New Roman"/>
          <w:color w:val="auto"/>
          <w:sz w:val="24"/>
          <w:szCs w:val="24"/>
          <w:highlight w:val="none"/>
        </w:rPr>
        <w:t>本招标文件仅适用于招标文件中所述货物及有关服务的采购。</w:t>
      </w:r>
    </w:p>
    <w:p w14:paraId="3CF80548">
      <w:pPr>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1.2</w:t>
      </w:r>
      <w:r>
        <w:rPr>
          <w:rFonts w:hint="eastAsia" w:ascii="Times New Roman" w:hAnsi="Times New Roman"/>
          <w:color w:val="auto"/>
          <w:sz w:val="24"/>
          <w:szCs w:val="24"/>
          <w:highlight w:val="none"/>
        </w:rPr>
        <w:t>本次根据有关法律法规。</w:t>
      </w:r>
    </w:p>
    <w:p w14:paraId="7C025431">
      <w:pPr>
        <w:keepNext/>
        <w:keepLines/>
        <w:spacing w:line="360" w:lineRule="auto"/>
        <w:jc w:val="left"/>
        <w:outlineLvl w:val="2"/>
        <w:rPr>
          <w:rFonts w:ascii="Times New Roman" w:hAnsi="Times New Roman"/>
          <w:b/>
          <w:bCs/>
          <w:color w:val="auto"/>
          <w:sz w:val="24"/>
          <w:szCs w:val="24"/>
          <w:highlight w:val="none"/>
        </w:rPr>
      </w:pPr>
      <w:bookmarkStart w:id="23" w:name="_Toc113892413"/>
      <w:bookmarkStart w:id="24" w:name="_Toc170287269"/>
      <w:bookmarkStart w:id="25" w:name="_Toc151210112"/>
      <w:bookmarkStart w:id="26" w:name="_Toc113891901"/>
      <w:bookmarkStart w:id="27" w:name="_Toc176358320"/>
      <w:bookmarkStart w:id="28" w:name="_Toc170287617"/>
      <w:r>
        <w:rPr>
          <w:rFonts w:ascii="Times New Roman" w:hAnsi="Times New Roman"/>
          <w:b/>
          <w:bCs/>
          <w:color w:val="auto"/>
          <w:sz w:val="24"/>
          <w:szCs w:val="24"/>
          <w:highlight w:val="none"/>
        </w:rPr>
        <w:t>2</w:t>
      </w:r>
      <w:r>
        <w:rPr>
          <w:rFonts w:hint="eastAsia" w:ascii="Times New Roman" w:hAnsi="Times New Roman"/>
          <w:b/>
          <w:bCs/>
          <w:color w:val="auto"/>
          <w:sz w:val="24"/>
          <w:szCs w:val="24"/>
          <w:highlight w:val="none"/>
        </w:rPr>
        <w:t>、定义与解释</w:t>
      </w:r>
      <w:bookmarkEnd w:id="23"/>
      <w:bookmarkEnd w:id="24"/>
      <w:bookmarkEnd w:id="25"/>
      <w:bookmarkEnd w:id="26"/>
      <w:bookmarkEnd w:id="27"/>
      <w:bookmarkEnd w:id="28"/>
    </w:p>
    <w:p w14:paraId="1F8875C5">
      <w:pPr>
        <w:spacing w:line="360" w:lineRule="auto"/>
        <w:jc w:val="left"/>
        <w:rPr>
          <w:rFonts w:ascii="Times New Roman" w:hAnsi="Times New Roman"/>
          <w:color w:val="auto"/>
          <w:sz w:val="24"/>
          <w:szCs w:val="24"/>
          <w:highlight w:val="none"/>
        </w:rPr>
      </w:pPr>
      <w:r>
        <w:rPr>
          <w:rFonts w:ascii="Times New Roman" w:hAnsi="Times New Roman"/>
          <w:color w:val="auto"/>
          <w:sz w:val="24"/>
          <w:szCs w:val="24"/>
          <w:highlight w:val="none"/>
        </w:rPr>
        <w:t xml:space="preserve">2.1 </w:t>
      </w:r>
      <w:r>
        <w:rPr>
          <w:rFonts w:hint="eastAsia" w:ascii="Times New Roman" w:hAnsi="Times New Roman"/>
          <w:color w:val="auto"/>
          <w:sz w:val="24"/>
          <w:szCs w:val="24"/>
          <w:highlight w:val="none"/>
        </w:rPr>
        <w:t>采购人：依法进行政府采购的国家机关、事业单位、团体组织。</w:t>
      </w:r>
    </w:p>
    <w:p w14:paraId="1DB539DC">
      <w:pPr>
        <w:spacing w:line="360" w:lineRule="auto"/>
        <w:jc w:val="left"/>
        <w:rPr>
          <w:rFonts w:ascii="Times New Roman" w:hAnsi="Times New Roman"/>
          <w:color w:val="auto"/>
          <w:sz w:val="24"/>
          <w:szCs w:val="24"/>
          <w:highlight w:val="none"/>
        </w:rPr>
      </w:pPr>
      <w:r>
        <w:rPr>
          <w:rFonts w:ascii="Times New Roman" w:hAnsi="Times New Roman"/>
          <w:color w:val="auto"/>
          <w:sz w:val="24"/>
          <w:szCs w:val="24"/>
          <w:highlight w:val="none"/>
        </w:rPr>
        <w:t xml:space="preserve">2.2 </w:t>
      </w:r>
      <w:r>
        <w:rPr>
          <w:rFonts w:hint="eastAsia" w:ascii="Times New Roman" w:hAnsi="Times New Roman"/>
          <w:color w:val="auto"/>
          <w:sz w:val="24"/>
          <w:szCs w:val="24"/>
          <w:highlight w:val="none"/>
        </w:rPr>
        <w:t>采购代理机构：受采购人委托组织招标活动，在招标过程中负有相应义务和责任的社会中介组织。</w:t>
      </w:r>
    </w:p>
    <w:p w14:paraId="5EDAEE39">
      <w:pPr>
        <w:spacing w:line="360" w:lineRule="auto"/>
        <w:jc w:val="left"/>
        <w:rPr>
          <w:rFonts w:ascii="Times New Roman" w:hAnsi="Times New Roman"/>
          <w:color w:val="auto"/>
          <w:sz w:val="24"/>
          <w:szCs w:val="24"/>
          <w:highlight w:val="none"/>
        </w:rPr>
      </w:pPr>
      <w:r>
        <w:rPr>
          <w:rFonts w:ascii="Times New Roman" w:hAnsi="Times New Roman"/>
          <w:color w:val="auto"/>
          <w:sz w:val="24"/>
          <w:szCs w:val="24"/>
          <w:highlight w:val="none"/>
        </w:rPr>
        <w:t xml:space="preserve">2.3 </w:t>
      </w:r>
      <w:r>
        <w:rPr>
          <w:rFonts w:hint="eastAsia" w:ascii="Times New Roman" w:hAnsi="Times New Roman"/>
          <w:color w:val="auto"/>
          <w:sz w:val="24"/>
          <w:szCs w:val="24"/>
          <w:highlight w:val="none"/>
        </w:rPr>
        <w:t>供应商：系指是指响应招标、参加投标竞争的法人或者其他组织。</w:t>
      </w:r>
    </w:p>
    <w:p w14:paraId="5CE92251">
      <w:pPr>
        <w:spacing w:line="360" w:lineRule="auto"/>
        <w:jc w:val="left"/>
        <w:rPr>
          <w:rFonts w:ascii="Times New Roman" w:hAnsi="Times New Roman"/>
          <w:color w:val="auto"/>
          <w:sz w:val="24"/>
          <w:szCs w:val="24"/>
          <w:highlight w:val="none"/>
        </w:rPr>
      </w:pPr>
      <w:r>
        <w:rPr>
          <w:rFonts w:ascii="Times New Roman" w:hAnsi="Times New Roman"/>
          <w:color w:val="auto"/>
          <w:sz w:val="24"/>
          <w:szCs w:val="24"/>
          <w:highlight w:val="none"/>
        </w:rPr>
        <w:t>2.4</w:t>
      </w:r>
      <w:r>
        <w:rPr>
          <w:rFonts w:hint="eastAsia" w:ascii="Times New Roman" w:hAnsi="Times New Roman"/>
          <w:color w:val="auto"/>
          <w:sz w:val="24"/>
          <w:szCs w:val="24"/>
          <w:highlight w:val="none"/>
        </w:rPr>
        <w:t>货物：系指投标供应商按招标文件规定而提供的货物及其他有关资料和材料。</w:t>
      </w:r>
    </w:p>
    <w:p w14:paraId="45CE5977">
      <w:pPr>
        <w:spacing w:line="360" w:lineRule="auto"/>
        <w:jc w:val="left"/>
        <w:rPr>
          <w:rFonts w:ascii="Times New Roman" w:hAnsi="Times New Roman"/>
          <w:color w:val="auto"/>
          <w:sz w:val="24"/>
          <w:szCs w:val="24"/>
          <w:highlight w:val="none"/>
        </w:rPr>
      </w:pPr>
      <w:r>
        <w:rPr>
          <w:rFonts w:ascii="Times New Roman" w:hAnsi="Times New Roman"/>
          <w:color w:val="auto"/>
          <w:sz w:val="24"/>
          <w:szCs w:val="24"/>
          <w:highlight w:val="none"/>
        </w:rPr>
        <w:t>2.5</w:t>
      </w:r>
      <w:r>
        <w:rPr>
          <w:rFonts w:hint="eastAsia" w:ascii="Times New Roman" w:hAnsi="Times New Roman"/>
          <w:color w:val="auto"/>
          <w:sz w:val="24"/>
          <w:szCs w:val="24"/>
          <w:highlight w:val="none"/>
        </w:rPr>
        <w:t>服务：系指投标供应商按招标文件提供的服务。</w:t>
      </w:r>
    </w:p>
    <w:p w14:paraId="0FB88708">
      <w:pPr>
        <w:spacing w:line="360" w:lineRule="auto"/>
        <w:jc w:val="left"/>
        <w:rPr>
          <w:rFonts w:ascii="Times New Roman" w:hAnsi="Times New Roman"/>
          <w:color w:val="auto"/>
          <w:sz w:val="24"/>
          <w:szCs w:val="24"/>
          <w:highlight w:val="none"/>
        </w:rPr>
      </w:pPr>
      <w:r>
        <w:rPr>
          <w:rFonts w:ascii="Times New Roman" w:hAnsi="Times New Roman"/>
          <w:color w:val="auto"/>
          <w:sz w:val="24"/>
          <w:szCs w:val="24"/>
          <w:highlight w:val="none"/>
        </w:rPr>
        <w:t xml:space="preserve">2.6 </w:t>
      </w:r>
      <w:r>
        <w:rPr>
          <w:rFonts w:hint="eastAsia" w:ascii="Times New Roman" w:hAnsi="Times New Roman"/>
          <w:color w:val="auto"/>
          <w:sz w:val="24"/>
          <w:szCs w:val="24"/>
          <w:highlight w:val="none"/>
        </w:rPr>
        <w:t>评标委员会：是指按照《评标委员会和评标方法暂行规定》的规定组建的专门负责本次招标的评标工作的临时机构。</w:t>
      </w:r>
    </w:p>
    <w:p w14:paraId="2D99450A">
      <w:pPr>
        <w:spacing w:line="360" w:lineRule="auto"/>
        <w:jc w:val="left"/>
        <w:rPr>
          <w:rFonts w:ascii="Times New Roman" w:hAnsi="Times New Roman"/>
          <w:color w:val="auto"/>
          <w:sz w:val="24"/>
          <w:szCs w:val="24"/>
          <w:highlight w:val="none"/>
        </w:rPr>
      </w:pPr>
      <w:r>
        <w:rPr>
          <w:rFonts w:ascii="Times New Roman" w:hAnsi="Times New Roman"/>
          <w:color w:val="auto"/>
          <w:sz w:val="24"/>
          <w:szCs w:val="24"/>
          <w:highlight w:val="none"/>
        </w:rPr>
        <w:t xml:space="preserve">2.7 </w:t>
      </w:r>
      <w:r>
        <w:rPr>
          <w:rFonts w:hint="eastAsia" w:ascii="Times New Roman" w:hAnsi="Times New Roman"/>
          <w:color w:val="auto"/>
          <w:sz w:val="24"/>
          <w:szCs w:val="24"/>
          <w:highlight w:val="none"/>
        </w:rPr>
        <w:t>日期、天数、时间：无特别说明时是指公历日及北京时间。</w:t>
      </w:r>
    </w:p>
    <w:p w14:paraId="6440E3A7">
      <w:pPr>
        <w:keepNext/>
        <w:keepLines/>
        <w:spacing w:line="360" w:lineRule="auto"/>
        <w:jc w:val="left"/>
        <w:outlineLvl w:val="2"/>
        <w:rPr>
          <w:rFonts w:ascii="Times New Roman" w:hAnsi="Times New Roman"/>
          <w:b/>
          <w:bCs/>
          <w:color w:val="auto"/>
          <w:sz w:val="24"/>
          <w:szCs w:val="24"/>
          <w:highlight w:val="none"/>
        </w:rPr>
      </w:pPr>
      <w:bookmarkStart w:id="29" w:name="_Toc176358321"/>
      <w:bookmarkStart w:id="30" w:name="_Toc170287270"/>
      <w:bookmarkStart w:id="31" w:name="_Toc151210113"/>
      <w:bookmarkStart w:id="32" w:name="_Toc170287618"/>
      <w:r>
        <w:rPr>
          <w:rFonts w:ascii="Times New Roman" w:hAnsi="Times New Roman"/>
          <w:b/>
          <w:bCs/>
          <w:color w:val="auto"/>
          <w:sz w:val="24"/>
          <w:szCs w:val="24"/>
          <w:highlight w:val="none"/>
        </w:rPr>
        <w:t>3</w:t>
      </w:r>
      <w:r>
        <w:rPr>
          <w:rFonts w:hint="eastAsia" w:ascii="Times New Roman" w:hAnsi="Times New Roman"/>
          <w:b/>
          <w:bCs/>
          <w:color w:val="auto"/>
          <w:sz w:val="24"/>
          <w:szCs w:val="24"/>
          <w:highlight w:val="none"/>
        </w:rPr>
        <w:t>、合格供应商</w:t>
      </w:r>
      <w:bookmarkEnd w:id="29"/>
      <w:bookmarkEnd w:id="30"/>
      <w:bookmarkEnd w:id="31"/>
      <w:bookmarkEnd w:id="32"/>
    </w:p>
    <w:p w14:paraId="06349CA2">
      <w:pPr>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3.1</w:t>
      </w:r>
      <w:r>
        <w:rPr>
          <w:rFonts w:hint="eastAsia" w:ascii="Times New Roman" w:hAnsi="Times New Roman"/>
          <w:color w:val="auto"/>
          <w:sz w:val="24"/>
          <w:szCs w:val="24"/>
          <w:highlight w:val="none"/>
        </w:rPr>
        <w:t>能够遵守国家有关法律、法规和本次招标的有关规定。</w:t>
      </w:r>
    </w:p>
    <w:p w14:paraId="3FCEA1B1">
      <w:pPr>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3.2</w:t>
      </w:r>
      <w:r>
        <w:rPr>
          <w:rFonts w:hint="eastAsia" w:ascii="Times New Roman" w:hAnsi="Times New Roman"/>
          <w:color w:val="auto"/>
          <w:sz w:val="24"/>
          <w:szCs w:val="24"/>
          <w:highlight w:val="none"/>
        </w:rPr>
        <w:t>满足招标文件前附表要求。</w:t>
      </w:r>
    </w:p>
    <w:p w14:paraId="177A0B84">
      <w:pPr>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3.3</w:t>
      </w:r>
      <w:r>
        <w:rPr>
          <w:rFonts w:hint="eastAsia" w:ascii="Times New Roman" w:hAnsi="Times New Roman"/>
          <w:color w:val="auto"/>
          <w:sz w:val="24"/>
          <w:szCs w:val="24"/>
          <w:highlight w:val="none"/>
        </w:rPr>
        <w:t>供应商不得存在下列情形之一：</w:t>
      </w:r>
    </w:p>
    <w:p w14:paraId="24DA2C56">
      <w:pPr>
        <w:spacing w:line="360" w:lineRule="auto"/>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1</w:t>
      </w:r>
      <w:r>
        <w:rPr>
          <w:rFonts w:hint="eastAsia" w:ascii="Times New Roman" w:hAnsi="Times New Roman"/>
          <w:color w:val="auto"/>
          <w:sz w:val="24"/>
          <w:szCs w:val="24"/>
          <w:highlight w:val="none"/>
        </w:rPr>
        <w:t>）与采购人或采购代理机构存在利害关系且可能影响招标公正性；</w:t>
      </w:r>
    </w:p>
    <w:p w14:paraId="5CD4E238">
      <w:pPr>
        <w:spacing w:line="360" w:lineRule="auto"/>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2</w:t>
      </w:r>
      <w:r>
        <w:rPr>
          <w:rFonts w:hint="eastAsia" w:ascii="Times New Roman" w:hAnsi="Times New Roman"/>
          <w:color w:val="auto"/>
          <w:sz w:val="24"/>
          <w:szCs w:val="24"/>
          <w:highlight w:val="none"/>
        </w:rPr>
        <w:t>）与本招标项目的其他供应商为同一个单位负责人；</w:t>
      </w:r>
    </w:p>
    <w:p w14:paraId="7168A2BB">
      <w:pPr>
        <w:spacing w:line="360" w:lineRule="auto"/>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3</w:t>
      </w:r>
      <w:r>
        <w:rPr>
          <w:rFonts w:hint="eastAsia" w:ascii="Times New Roman" w:hAnsi="Times New Roman"/>
          <w:color w:val="auto"/>
          <w:sz w:val="24"/>
          <w:szCs w:val="24"/>
          <w:highlight w:val="none"/>
        </w:rPr>
        <w:t>）与本招标项目的其他供应商存在直接控股、管理关系；</w:t>
      </w:r>
    </w:p>
    <w:p w14:paraId="79CC5EB2">
      <w:pPr>
        <w:spacing w:line="360" w:lineRule="auto"/>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4</w:t>
      </w:r>
      <w:r>
        <w:rPr>
          <w:rFonts w:hint="eastAsia" w:ascii="Times New Roman" w:hAnsi="Times New Roman"/>
          <w:color w:val="auto"/>
          <w:sz w:val="24"/>
          <w:szCs w:val="24"/>
          <w:highlight w:val="none"/>
        </w:rPr>
        <w:t>）参加政府采购活动前</w:t>
      </w:r>
      <w:r>
        <w:rPr>
          <w:rFonts w:ascii="Times New Roman" w:hAnsi="Times New Roman"/>
          <w:color w:val="auto"/>
          <w:sz w:val="24"/>
          <w:szCs w:val="24"/>
          <w:highlight w:val="none"/>
        </w:rPr>
        <w:t xml:space="preserve"> 3 </w:t>
      </w:r>
      <w:r>
        <w:rPr>
          <w:rFonts w:hint="eastAsia" w:ascii="Times New Roman" w:hAnsi="Times New Roman"/>
          <w:color w:val="auto"/>
          <w:sz w:val="24"/>
          <w:szCs w:val="24"/>
          <w:highlight w:val="none"/>
        </w:rPr>
        <w:t>年内未因违法经营受到刑事处罚或者责令停产停业、吊销许可证或者执照、较大数额罚款等行政处罚；</w:t>
      </w:r>
    </w:p>
    <w:p w14:paraId="4D4C8CD5">
      <w:pPr>
        <w:keepNext/>
        <w:keepLines/>
        <w:spacing w:line="360" w:lineRule="auto"/>
        <w:jc w:val="left"/>
        <w:outlineLvl w:val="2"/>
        <w:rPr>
          <w:rFonts w:ascii="Times New Roman" w:hAnsi="Times New Roman"/>
          <w:b/>
          <w:bCs/>
          <w:color w:val="auto"/>
          <w:sz w:val="24"/>
          <w:szCs w:val="24"/>
          <w:highlight w:val="none"/>
        </w:rPr>
      </w:pPr>
      <w:bookmarkStart w:id="33" w:name="_Toc176358322"/>
      <w:bookmarkStart w:id="34" w:name="_Toc170287619"/>
      <w:bookmarkStart w:id="35" w:name="_Toc113892414"/>
      <w:bookmarkStart w:id="36" w:name="_Toc151210114"/>
      <w:bookmarkStart w:id="37" w:name="_Toc113891902"/>
      <w:bookmarkStart w:id="38" w:name="_Toc170287271"/>
      <w:r>
        <w:rPr>
          <w:rFonts w:ascii="Times New Roman" w:hAnsi="Times New Roman"/>
          <w:b/>
          <w:bCs/>
          <w:color w:val="auto"/>
          <w:sz w:val="24"/>
          <w:szCs w:val="24"/>
          <w:highlight w:val="none"/>
        </w:rPr>
        <w:t>4</w:t>
      </w:r>
      <w:r>
        <w:rPr>
          <w:rFonts w:hint="eastAsia" w:ascii="Times New Roman" w:hAnsi="Times New Roman"/>
          <w:b/>
          <w:bCs/>
          <w:color w:val="auto"/>
          <w:sz w:val="24"/>
          <w:szCs w:val="24"/>
          <w:highlight w:val="none"/>
        </w:rPr>
        <w:t>、投标费用</w:t>
      </w:r>
      <w:bookmarkEnd w:id="33"/>
      <w:bookmarkEnd w:id="34"/>
      <w:bookmarkEnd w:id="35"/>
      <w:bookmarkEnd w:id="36"/>
      <w:bookmarkEnd w:id="37"/>
      <w:bookmarkEnd w:id="38"/>
    </w:p>
    <w:p w14:paraId="0BE760AB">
      <w:pPr>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供应商应自行承担所有准备和参加投标有关的全部费用。不论投标的结果如何，采购代理机构和采购人均无义务和责任承担这些费用。</w:t>
      </w:r>
    </w:p>
    <w:p w14:paraId="47F462F9">
      <w:pPr>
        <w:keepNext/>
        <w:keepLines/>
        <w:spacing w:line="360" w:lineRule="auto"/>
        <w:jc w:val="left"/>
        <w:outlineLvl w:val="2"/>
        <w:rPr>
          <w:rFonts w:ascii="Times New Roman" w:hAnsi="Times New Roman"/>
          <w:b/>
          <w:bCs/>
          <w:color w:val="auto"/>
          <w:sz w:val="24"/>
          <w:szCs w:val="24"/>
          <w:highlight w:val="none"/>
        </w:rPr>
      </w:pPr>
      <w:bookmarkStart w:id="39" w:name="_Toc170287272"/>
      <w:bookmarkStart w:id="40" w:name="_Toc113892415"/>
      <w:bookmarkStart w:id="41" w:name="_Toc151210115"/>
      <w:bookmarkStart w:id="42" w:name="_Toc22702"/>
      <w:bookmarkStart w:id="43" w:name="_Toc170287620"/>
      <w:bookmarkStart w:id="44" w:name="_Toc522288449"/>
      <w:bookmarkStart w:id="45" w:name="_Toc479341556"/>
      <w:bookmarkStart w:id="46" w:name="_Toc113891903"/>
      <w:bookmarkStart w:id="47" w:name="_Toc509822565"/>
      <w:bookmarkStart w:id="48" w:name="_Toc176358323"/>
      <w:bookmarkStart w:id="49" w:name="_Toc517338585"/>
      <w:bookmarkStart w:id="50" w:name="_Toc508113507"/>
      <w:r>
        <w:rPr>
          <w:rFonts w:ascii="Times New Roman" w:hAnsi="Times New Roman"/>
          <w:b/>
          <w:bCs/>
          <w:color w:val="auto"/>
          <w:sz w:val="24"/>
          <w:szCs w:val="24"/>
          <w:highlight w:val="none"/>
        </w:rPr>
        <w:t>5</w:t>
      </w:r>
      <w:r>
        <w:rPr>
          <w:rFonts w:hint="eastAsia" w:ascii="Times New Roman" w:hAnsi="Times New Roman"/>
          <w:b/>
          <w:bCs/>
          <w:color w:val="auto"/>
          <w:sz w:val="24"/>
          <w:szCs w:val="24"/>
          <w:highlight w:val="none"/>
        </w:rPr>
        <w:t>、保密</w:t>
      </w:r>
      <w:bookmarkEnd w:id="39"/>
      <w:bookmarkEnd w:id="40"/>
      <w:bookmarkEnd w:id="41"/>
      <w:bookmarkEnd w:id="42"/>
      <w:bookmarkEnd w:id="43"/>
      <w:bookmarkEnd w:id="44"/>
      <w:bookmarkEnd w:id="45"/>
      <w:bookmarkEnd w:id="46"/>
      <w:bookmarkEnd w:id="47"/>
      <w:bookmarkEnd w:id="48"/>
      <w:bookmarkEnd w:id="49"/>
      <w:bookmarkEnd w:id="50"/>
    </w:p>
    <w:p w14:paraId="6FF547B4">
      <w:pPr>
        <w:spacing w:line="360" w:lineRule="auto"/>
        <w:ind w:firstLine="480" w:firstLineChars="20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参与招标投标活动的各方应对采购文件和投标文件中的商业和技术等秘密保密，违者应对由此造成的后果承担法律责任。</w:t>
      </w:r>
      <w:r>
        <w:rPr>
          <w:rFonts w:ascii="Times New Roman" w:hAnsi="Times New Roman"/>
          <w:color w:val="auto"/>
          <w:sz w:val="24"/>
          <w:szCs w:val="24"/>
          <w:highlight w:val="none"/>
        </w:rPr>
        <w:t xml:space="preserve"> </w:t>
      </w:r>
    </w:p>
    <w:p w14:paraId="2817331B">
      <w:pPr>
        <w:keepNext/>
        <w:keepLines/>
        <w:spacing w:line="360" w:lineRule="auto"/>
        <w:jc w:val="left"/>
        <w:outlineLvl w:val="2"/>
        <w:rPr>
          <w:rFonts w:ascii="Times New Roman" w:hAnsi="Times New Roman"/>
          <w:b/>
          <w:bCs/>
          <w:color w:val="auto"/>
          <w:sz w:val="24"/>
          <w:szCs w:val="24"/>
          <w:highlight w:val="none"/>
        </w:rPr>
      </w:pPr>
      <w:bookmarkStart w:id="51" w:name="_Toc113891904"/>
      <w:bookmarkStart w:id="52" w:name="_Toc170287621"/>
      <w:bookmarkStart w:id="53" w:name="_Toc151210116"/>
      <w:bookmarkStart w:id="54" w:name="_Toc113892416"/>
      <w:bookmarkStart w:id="55" w:name="_Toc176358324"/>
      <w:bookmarkStart w:id="56" w:name="_Toc170287273"/>
      <w:r>
        <w:rPr>
          <w:rFonts w:ascii="Times New Roman" w:hAnsi="Times New Roman"/>
          <w:b/>
          <w:bCs/>
          <w:color w:val="auto"/>
          <w:sz w:val="24"/>
          <w:szCs w:val="24"/>
          <w:highlight w:val="none"/>
        </w:rPr>
        <w:t>6</w:t>
      </w:r>
      <w:r>
        <w:rPr>
          <w:rFonts w:hint="eastAsia" w:ascii="Times New Roman" w:hAnsi="Times New Roman"/>
          <w:b/>
          <w:bCs/>
          <w:color w:val="auto"/>
          <w:sz w:val="24"/>
          <w:szCs w:val="24"/>
          <w:highlight w:val="none"/>
        </w:rPr>
        <w:t>、知识产权</w:t>
      </w:r>
      <w:bookmarkEnd w:id="51"/>
      <w:bookmarkEnd w:id="52"/>
      <w:bookmarkEnd w:id="53"/>
      <w:bookmarkEnd w:id="54"/>
      <w:bookmarkEnd w:id="55"/>
      <w:bookmarkEnd w:id="56"/>
    </w:p>
    <w:p w14:paraId="70CC1643">
      <w:pPr>
        <w:spacing w:line="360" w:lineRule="auto"/>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6.1</w:t>
      </w:r>
      <w:r>
        <w:rPr>
          <w:rFonts w:hint="eastAsia" w:ascii="Times New Roman" w:hAnsi="Times New Roman"/>
          <w:color w:val="auto"/>
          <w:sz w:val="24"/>
          <w:szCs w:val="24"/>
          <w:highlight w:val="none"/>
        </w:rPr>
        <w:t>供应商须保证采购人在中华人民共和国境内使用投标货物、资料、技术、服务或其任何一部分时，享有不受限制的无偿使用权，不会产生因第三方提出侵犯其专利权、商标权或其它知识产权而引起的法律或经济纠纷。如供应商不拥有响应的知识产权，则在投标报价中必须包括合法获取该知识产权的一切相关费用。如因此导致采购人损失的，供应商须承担全部赔偿责任。</w:t>
      </w:r>
    </w:p>
    <w:p w14:paraId="309427A1">
      <w:pPr>
        <w:spacing w:line="360" w:lineRule="auto"/>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 xml:space="preserve">6.2 </w:t>
      </w:r>
      <w:r>
        <w:rPr>
          <w:rFonts w:hint="eastAsia" w:ascii="Times New Roman" w:hAnsi="Times New Roman"/>
          <w:color w:val="auto"/>
          <w:sz w:val="24"/>
          <w:szCs w:val="24"/>
          <w:highlight w:val="none"/>
        </w:rPr>
        <w:t>供应商如欲在项目实施过程中采用自有知识成果，须在投标文件中声明，并提供相关知识产权证明文件。</w:t>
      </w:r>
    </w:p>
    <w:p w14:paraId="36D9D5A0">
      <w:pPr>
        <w:keepNext/>
        <w:keepLines/>
        <w:spacing w:line="360" w:lineRule="auto"/>
        <w:jc w:val="center"/>
        <w:outlineLvl w:val="1"/>
        <w:rPr>
          <w:rFonts w:ascii="Times New Roman" w:hAnsi="Times New Roman"/>
          <w:b/>
          <w:bCs/>
          <w:color w:val="auto"/>
          <w:sz w:val="24"/>
          <w:szCs w:val="24"/>
          <w:highlight w:val="none"/>
        </w:rPr>
      </w:pPr>
      <w:bookmarkStart w:id="57" w:name="_Toc176358325"/>
      <w:bookmarkStart w:id="58" w:name="_Toc479341563"/>
      <w:bookmarkStart w:id="59" w:name="_Toc508113514"/>
      <w:bookmarkStart w:id="60" w:name="_Toc30950"/>
      <w:bookmarkStart w:id="61" w:name="_Toc508873147"/>
      <w:bookmarkStart w:id="62" w:name="_Toc525836311"/>
      <w:bookmarkStart w:id="63" w:name="_Toc517338592"/>
      <w:r>
        <w:rPr>
          <w:rFonts w:hint="eastAsia" w:ascii="Times New Roman" w:hAnsi="Times New Roman"/>
          <w:b/>
          <w:bCs/>
          <w:color w:val="auto"/>
          <w:sz w:val="24"/>
          <w:szCs w:val="24"/>
          <w:highlight w:val="none"/>
        </w:rPr>
        <w:t>二、</w:t>
      </w:r>
      <w:r>
        <w:rPr>
          <w:rFonts w:ascii="Times New Roman" w:hAnsi="Times New Roman"/>
          <w:b/>
          <w:bCs/>
          <w:color w:val="auto"/>
          <w:sz w:val="24"/>
          <w:szCs w:val="24"/>
          <w:highlight w:val="none"/>
        </w:rPr>
        <w:t xml:space="preserve"> </w:t>
      </w:r>
      <w:r>
        <w:rPr>
          <w:rFonts w:hint="eastAsia" w:ascii="Times New Roman" w:hAnsi="Times New Roman"/>
          <w:b/>
          <w:bCs/>
          <w:color w:val="auto"/>
          <w:sz w:val="24"/>
          <w:szCs w:val="24"/>
          <w:highlight w:val="none"/>
        </w:rPr>
        <w:t>招标文件</w:t>
      </w:r>
      <w:bookmarkEnd w:id="57"/>
      <w:bookmarkEnd w:id="58"/>
      <w:bookmarkEnd w:id="59"/>
      <w:bookmarkEnd w:id="60"/>
      <w:bookmarkEnd w:id="61"/>
      <w:bookmarkEnd w:id="62"/>
      <w:bookmarkEnd w:id="63"/>
    </w:p>
    <w:p w14:paraId="6FBA96E6">
      <w:pPr>
        <w:keepNext/>
        <w:keepLines/>
        <w:spacing w:line="360" w:lineRule="auto"/>
        <w:jc w:val="left"/>
        <w:outlineLvl w:val="2"/>
        <w:rPr>
          <w:rFonts w:ascii="Times New Roman" w:hAnsi="Times New Roman"/>
          <w:b/>
          <w:bCs/>
          <w:color w:val="auto"/>
          <w:sz w:val="24"/>
          <w:szCs w:val="24"/>
          <w:highlight w:val="none"/>
        </w:rPr>
      </w:pPr>
      <w:bookmarkStart w:id="64" w:name="_Toc176358326"/>
      <w:bookmarkStart w:id="65" w:name="_Toc522288457"/>
      <w:bookmarkStart w:id="66" w:name="_Toc29352"/>
      <w:bookmarkStart w:id="67" w:name="_Toc151210118"/>
      <w:bookmarkStart w:id="68" w:name="_Toc517338593"/>
      <w:bookmarkStart w:id="69" w:name="_Toc508113515"/>
      <w:bookmarkStart w:id="70" w:name="_Toc509822573"/>
      <w:bookmarkStart w:id="71" w:name="_Toc170287623"/>
      <w:bookmarkStart w:id="72" w:name="_Toc113891906"/>
      <w:bookmarkStart w:id="73" w:name="_Toc170287275"/>
      <w:bookmarkStart w:id="74" w:name="_Toc479341564"/>
      <w:bookmarkStart w:id="75" w:name="_Toc113892418"/>
      <w:r>
        <w:rPr>
          <w:rFonts w:ascii="Times New Roman" w:hAnsi="Times New Roman"/>
          <w:b/>
          <w:bCs/>
          <w:color w:val="auto"/>
          <w:sz w:val="24"/>
          <w:szCs w:val="24"/>
          <w:highlight w:val="none"/>
        </w:rPr>
        <w:t>7</w:t>
      </w:r>
      <w:r>
        <w:rPr>
          <w:rFonts w:hint="eastAsia" w:ascii="Times New Roman" w:hAnsi="Times New Roman"/>
          <w:b/>
          <w:bCs/>
          <w:color w:val="auto"/>
          <w:sz w:val="24"/>
          <w:szCs w:val="24"/>
          <w:highlight w:val="none"/>
        </w:rPr>
        <w:t>、招标文件的组成</w:t>
      </w:r>
      <w:bookmarkEnd w:id="64"/>
      <w:bookmarkEnd w:id="65"/>
      <w:bookmarkEnd w:id="66"/>
      <w:bookmarkEnd w:id="67"/>
      <w:bookmarkEnd w:id="68"/>
      <w:bookmarkEnd w:id="69"/>
      <w:bookmarkEnd w:id="70"/>
      <w:bookmarkEnd w:id="71"/>
      <w:bookmarkEnd w:id="72"/>
      <w:bookmarkEnd w:id="73"/>
      <w:bookmarkEnd w:id="74"/>
      <w:bookmarkEnd w:id="75"/>
    </w:p>
    <w:p w14:paraId="52DB2FD8">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7.1</w:t>
      </w:r>
      <w:r>
        <w:rPr>
          <w:rFonts w:hint="eastAsia" w:ascii="Times New Roman" w:hAnsi="Times New Roman"/>
          <w:color w:val="auto"/>
          <w:sz w:val="24"/>
          <w:szCs w:val="24"/>
          <w:highlight w:val="none"/>
        </w:rPr>
        <w:t>要求提供的本次服务要求、招标过程和合同条款在招标文件中均有说明。招标文件由下述部分组成：</w:t>
      </w:r>
    </w:p>
    <w:p w14:paraId="1CBDC698">
      <w:pPr>
        <w:spacing w:line="360" w:lineRule="auto"/>
        <w:ind w:firstLine="480" w:firstLineChars="20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第一章</w:t>
      </w: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rPr>
        <w:t>招标公告；</w:t>
      </w:r>
    </w:p>
    <w:p w14:paraId="24FF849A">
      <w:pPr>
        <w:spacing w:line="360" w:lineRule="auto"/>
        <w:ind w:firstLine="480" w:firstLineChars="20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第二章</w:t>
      </w: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rPr>
        <w:t>供应商须知；</w:t>
      </w:r>
    </w:p>
    <w:p w14:paraId="60AD0E8D">
      <w:pPr>
        <w:spacing w:line="360" w:lineRule="auto"/>
        <w:ind w:firstLine="480" w:firstLineChars="20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第三章</w:t>
      </w: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rPr>
        <w:t>采购内容及参数要求；</w:t>
      </w:r>
    </w:p>
    <w:p w14:paraId="3C602E3F">
      <w:pPr>
        <w:spacing w:line="360" w:lineRule="auto"/>
        <w:ind w:firstLine="480" w:firstLineChars="20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第四章</w:t>
      </w: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rPr>
        <w:t>评标办法；</w:t>
      </w:r>
    </w:p>
    <w:p w14:paraId="713EEFAD">
      <w:pPr>
        <w:spacing w:line="360" w:lineRule="auto"/>
        <w:ind w:firstLine="480" w:firstLineChars="20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第五章</w:t>
      </w: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rPr>
        <w:t>合同条款及格式；</w:t>
      </w:r>
    </w:p>
    <w:p w14:paraId="0CF5359C">
      <w:pPr>
        <w:spacing w:line="360" w:lineRule="auto"/>
        <w:ind w:firstLine="480" w:firstLineChars="20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第六章</w:t>
      </w: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rPr>
        <w:t>投标文件格式。</w:t>
      </w:r>
    </w:p>
    <w:p w14:paraId="0B626CD0">
      <w:pPr>
        <w:spacing w:line="360" w:lineRule="auto"/>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7.2</w:t>
      </w:r>
      <w:r>
        <w:rPr>
          <w:rFonts w:hint="eastAsia" w:ascii="Times New Roman" w:hAnsi="Times New Roman"/>
          <w:color w:val="auto"/>
          <w:sz w:val="24"/>
          <w:szCs w:val="24"/>
          <w:highlight w:val="none"/>
        </w:rPr>
        <w:t>根据本章第</w:t>
      </w:r>
      <w:r>
        <w:rPr>
          <w:rFonts w:ascii="Times New Roman" w:hAnsi="Times New Roman"/>
          <w:color w:val="auto"/>
          <w:sz w:val="24"/>
          <w:szCs w:val="24"/>
          <w:highlight w:val="none"/>
        </w:rPr>
        <w:t>8</w:t>
      </w:r>
      <w:r>
        <w:rPr>
          <w:rFonts w:hint="eastAsia" w:ascii="Times New Roman" w:hAnsi="Times New Roman"/>
          <w:color w:val="auto"/>
          <w:sz w:val="24"/>
          <w:szCs w:val="24"/>
          <w:highlight w:val="none"/>
        </w:rPr>
        <w:t>款对招标文件所作的澄清、修改，均构成招标文件的组成部分。</w:t>
      </w:r>
    </w:p>
    <w:p w14:paraId="6745AF41">
      <w:pPr>
        <w:spacing w:line="360" w:lineRule="auto"/>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7.3</w:t>
      </w:r>
      <w:r>
        <w:rPr>
          <w:rFonts w:hint="eastAsia" w:ascii="Times New Roman" w:hAnsi="Times New Roman"/>
          <w:color w:val="auto"/>
          <w:sz w:val="24"/>
          <w:szCs w:val="24"/>
          <w:highlight w:val="none"/>
        </w:rPr>
        <w:t>供应商应认真阅读招标文件中所有的事项、格式、条款和技术规格等。供应商没有按照招标文件要求提交全部资料，或者投标没有对招标文件在各方面都作出实质性响应是供应商的风险，并可能导致其投标被拒绝。</w:t>
      </w:r>
    </w:p>
    <w:p w14:paraId="769E1E40">
      <w:pPr>
        <w:keepNext/>
        <w:keepLines/>
        <w:spacing w:line="360" w:lineRule="auto"/>
        <w:jc w:val="left"/>
        <w:outlineLvl w:val="2"/>
        <w:rPr>
          <w:rFonts w:ascii="Times New Roman" w:hAnsi="Times New Roman"/>
          <w:b/>
          <w:bCs/>
          <w:color w:val="auto"/>
          <w:sz w:val="24"/>
          <w:szCs w:val="24"/>
          <w:highlight w:val="none"/>
        </w:rPr>
      </w:pPr>
      <w:bookmarkStart w:id="76" w:name="_Toc522288458"/>
      <w:bookmarkStart w:id="77" w:name="_Toc508113516"/>
      <w:bookmarkStart w:id="78" w:name="_Toc509822574"/>
      <w:bookmarkStart w:id="79" w:name="_Toc11139"/>
      <w:bookmarkStart w:id="80" w:name="_Toc479341565"/>
      <w:bookmarkStart w:id="81" w:name="_Toc517338594"/>
      <w:bookmarkStart w:id="82" w:name="_Toc176358327"/>
      <w:bookmarkStart w:id="83" w:name="_Toc113891907"/>
      <w:bookmarkStart w:id="84" w:name="_Toc170287276"/>
      <w:bookmarkStart w:id="85" w:name="_Toc151210119"/>
      <w:bookmarkStart w:id="86" w:name="_Toc113892419"/>
      <w:bookmarkStart w:id="87" w:name="_Toc170287624"/>
      <w:r>
        <w:rPr>
          <w:rFonts w:ascii="Times New Roman" w:hAnsi="Times New Roman"/>
          <w:b/>
          <w:bCs/>
          <w:color w:val="auto"/>
          <w:sz w:val="24"/>
          <w:szCs w:val="24"/>
          <w:highlight w:val="none"/>
        </w:rPr>
        <w:t>8</w:t>
      </w:r>
      <w:r>
        <w:rPr>
          <w:rFonts w:hint="eastAsia" w:ascii="Times New Roman" w:hAnsi="Times New Roman"/>
          <w:b/>
          <w:bCs/>
          <w:color w:val="auto"/>
          <w:sz w:val="24"/>
          <w:szCs w:val="24"/>
          <w:highlight w:val="none"/>
        </w:rPr>
        <w:t>、招标文件的澄清</w:t>
      </w:r>
      <w:bookmarkEnd w:id="76"/>
      <w:bookmarkEnd w:id="77"/>
      <w:bookmarkEnd w:id="78"/>
      <w:bookmarkEnd w:id="79"/>
      <w:bookmarkEnd w:id="80"/>
      <w:bookmarkEnd w:id="81"/>
      <w:r>
        <w:rPr>
          <w:rFonts w:hint="eastAsia" w:ascii="Times New Roman" w:hAnsi="Times New Roman"/>
          <w:b/>
          <w:bCs/>
          <w:color w:val="auto"/>
          <w:sz w:val="24"/>
          <w:szCs w:val="24"/>
          <w:highlight w:val="none"/>
        </w:rPr>
        <w:t>或修改</w:t>
      </w:r>
      <w:bookmarkEnd w:id="82"/>
      <w:bookmarkEnd w:id="83"/>
      <w:bookmarkEnd w:id="84"/>
      <w:bookmarkEnd w:id="85"/>
      <w:bookmarkEnd w:id="86"/>
      <w:bookmarkEnd w:id="87"/>
    </w:p>
    <w:p w14:paraId="6060937C">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8.1</w:t>
      </w:r>
      <w:r>
        <w:rPr>
          <w:rFonts w:hint="eastAsia" w:ascii="Times New Roman" w:hAnsi="Times New Roman"/>
          <w:color w:val="auto"/>
          <w:sz w:val="24"/>
          <w:szCs w:val="24"/>
          <w:highlight w:val="none"/>
        </w:rPr>
        <w:t>招标文件的澄清</w:t>
      </w:r>
    </w:p>
    <w:p w14:paraId="6F27F843">
      <w:pPr>
        <w:spacing w:line="360" w:lineRule="auto"/>
        <w:ind w:firstLine="480" w:firstLineChars="200"/>
        <w:rPr>
          <w:rFonts w:ascii="Times New Roman" w:hAnsi="Times New Roman"/>
          <w:color w:val="auto"/>
          <w:sz w:val="24"/>
          <w:szCs w:val="24"/>
          <w:highlight w:val="none"/>
        </w:rPr>
      </w:pPr>
      <w:bookmarkStart w:id="88" w:name="_Toc508113517"/>
      <w:r>
        <w:rPr>
          <w:rFonts w:ascii="Times New Roman" w:hAnsi="Times New Roman"/>
          <w:color w:val="auto"/>
          <w:sz w:val="24"/>
          <w:szCs w:val="24"/>
          <w:highlight w:val="none"/>
        </w:rPr>
        <w:t xml:space="preserve">8.1.1 </w:t>
      </w:r>
      <w:r>
        <w:rPr>
          <w:rFonts w:hint="eastAsia" w:ascii="Times New Roman" w:hAnsi="Times New Roman"/>
          <w:color w:val="auto"/>
          <w:sz w:val="24"/>
          <w:szCs w:val="24"/>
          <w:highlight w:val="none"/>
        </w:rPr>
        <w:t>供应商应仔细阅读和检查招标文件的全部内容。如发现缺页或附件不全，应及时向采购人提出，以便补齐。如有疑问，应在供应商须知前附表规定的时间前在三门峡市公共资源交易系统中提出质询，要求采购人对招标文件予以澄清。</w:t>
      </w:r>
      <w:bookmarkEnd w:id="88"/>
    </w:p>
    <w:p w14:paraId="747CECD7">
      <w:pPr>
        <w:spacing w:line="360" w:lineRule="auto"/>
        <w:ind w:firstLine="480" w:firstLineChars="200"/>
        <w:rPr>
          <w:rFonts w:ascii="Times New Roman" w:hAnsi="Times New Roman"/>
          <w:color w:val="auto"/>
          <w:sz w:val="24"/>
          <w:szCs w:val="24"/>
          <w:highlight w:val="none"/>
        </w:rPr>
      </w:pPr>
      <w:bookmarkStart w:id="89" w:name="_Toc508113518"/>
      <w:r>
        <w:rPr>
          <w:rFonts w:ascii="Times New Roman" w:hAnsi="Times New Roman"/>
          <w:color w:val="auto"/>
          <w:sz w:val="24"/>
          <w:szCs w:val="24"/>
          <w:highlight w:val="none"/>
        </w:rPr>
        <w:t xml:space="preserve">8.1.2 </w:t>
      </w:r>
      <w:r>
        <w:rPr>
          <w:rFonts w:hint="eastAsia" w:ascii="Times New Roman" w:hAnsi="Times New Roman"/>
          <w:color w:val="auto"/>
          <w:sz w:val="24"/>
          <w:szCs w:val="24"/>
          <w:highlight w:val="none"/>
        </w:rPr>
        <w:t>招标文件的澄清以澄清回复的方式在三门峡市公共资源交易系统中回复所有报名完成的供应商或公开发布澄清公告，但不指明澄清问题的来源。如果澄清发出的时间距投标截止时间不足</w:t>
      </w:r>
      <w:r>
        <w:rPr>
          <w:rFonts w:ascii="Times New Roman" w:hAnsi="Times New Roman"/>
          <w:color w:val="auto"/>
          <w:sz w:val="24"/>
          <w:szCs w:val="24"/>
          <w:highlight w:val="none"/>
        </w:rPr>
        <w:t>15</w:t>
      </w:r>
      <w:r>
        <w:rPr>
          <w:rFonts w:hint="eastAsia" w:ascii="Times New Roman" w:hAnsi="Times New Roman"/>
          <w:color w:val="auto"/>
          <w:sz w:val="24"/>
          <w:szCs w:val="24"/>
          <w:highlight w:val="none"/>
        </w:rPr>
        <w:t>日的，并且澄清内容可能影响投标文件编制的，将相应延长投标截止时间。</w:t>
      </w:r>
      <w:bookmarkEnd w:id="89"/>
    </w:p>
    <w:p w14:paraId="73D0F8AF">
      <w:pPr>
        <w:spacing w:line="360" w:lineRule="auto"/>
        <w:ind w:firstLine="480" w:firstLineChars="200"/>
        <w:rPr>
          <w:rFonts w:ascii="Times New Roman" w:hAnsi="Times New Roman"/>
          <w:color w:val="auto"/>
          <w:sz w:val="24"/>
          <w:szCs w:val="24"/>
          <w:highlight w:val="none"/>
        </w:rPr>
      </w:pPr>
      <w:bookmarkStart w:id="90" w:name="_Toc508113519"/>
      <w:r>
        <w:rPr>
          <w:rFonts w:ascii="Times New Roman" w:hAnsi="Times New Roman"/>
          <w:color w:val="auto"/>
          <w:sz w:val="24"/>
          <w:szCs w:val="24"/>
          <w:highlight w:val="none"/>
        </w:rPr>
        <w:t>8.1.3</w:t>
      </w:r>
      <w:r>
        <w:rPr>
          <w:rFonts w:hint="eastAsia" w:ascii="Times New Roman" w:hAnsi="Times New Roman"/>
          <w:color w:val="auto"/>
          <w:sz w:val="24"/>
          <w:szCs w:val="24"/>
          <w:highlight w:val="none"/>
        </w:rPr>
        <w:t>供应商应登录三门峡市公共资源交易系统自行查看澄清信息或在澄清公告发布相关网站（同招标公告发布媒介）自行查看招标文件澄清信息。</w:t>
      </w:r>
      <w:bookmarkEnd w:id="90"/>
    </w:p>
    <w:p w14:paraId="59372663">
      <w:pPr>
        <w:spacing w:line="360" w:lineRule="auto"/>
        <w:ind w:firstLine="480" w:firstLineChars="200"/>
        <w:rPr>
          <w:rFonts w:ascii="Times New Roman" w:hAnsi="Times New Roman"/>
          <w:color w:val="auto"/>
          <w:sz w:val="24"/>
          <w:szCs w:val="24"/>
          <w:highlight w:val="none"/>
        </w:rPr>
      </w:pPr>
      <w:bookmarkStart w:id="91" w:name="_Toc517338595"/>
      <w:bookmarkStart w:id="92" w:name="_Toc152045545"/>
      <w:bookmarkStart w:id="93" w:name="_Toc509822575"/>
      <w:bookmarkStart w:id="94" w:name="_Toc1728"/>
      <w:bookmarkStart w:id="95" w:name="_Toc522288459"/>
      <w:bookmarkStart w:id="96" w:name="_Toc152042321"/>
      <w:bookmarkStart w:id="97" w:name="_Toc479341566"/>
      <w:bookmarkStart w:id="98" w:name="_Toc179632563"/>
      <w:bookmarkStart w:id="99" w:name="_Toc508113520"/>
      <w:bookmarkStart w:id="100" w:name="_Toc144974513"/>
      <w:r>
        <w:rPr>
          <w:rFonts w:ascii="Times New Roman" w:hAnsi="Times New Roman"/>
          <w:color w:val="auto"/>
          <w:sz w:val="24"/>
          <w:szCs w:val="24"/>
          <w:highlight w:val="none"/>
        </w:rPr>
        <w:t>8.2</w:t>
      </w:r>
      <w:r>
        <w:rPr>
          <w:rFonts w:hint="eastAsia" w:ascii="Times New Roman" w:hAnsi="Times New Roman"/>
          <w:color w:val="auto"/>
          <w:sz w:val="24"/>
          <w:szCs w:val="24"/>
          <w:highlight w:val="none"/>
        </w:rPr>
        <w:t>招标文件的修改</w:t>
      </w:r>
      <w:bookmarkEnd w:id="91"/>
      <w:bookmarkEnd w:id="92"/>
      <w:bookmarkEnd w:id="93"/>
      <w:bookmarkEnd w:id="94"/>
      <w:bookmarkEnd w:id="95"/>
      <w:bookmarkEnd w:id="96"/>
      <w:bookmarkEnd w:id="97"/>
      <w:bookmarkEnd w:id="98"/>
      <w:bookmarkEnd w:id="99"/>
      <w:bookmarkEnd w:id="100"/>
    </w:p>
    <w:p w14:paraId="6E2C5EDA">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8.2.1</w:t>
      </w:r>
      <w:r>
        <w:rPr>
          <w:rFonts w:hint="eastAsia" w:ascii="Times New Roman" w:hAnsi="Times New Roman"/>
          <w:color w:val="auto"/>
          <w:sz w:val="24"/>
          <w:szCs w:val="24"/>
          <w:highlight w:val="none"/>
        </w:rPr>
        <w:t>在投标截止时间</w:t>
      </w:r>
      <w:r>
        <w:rPr>
          <w:rFonts w:ascii="Times New Roman" w:hAnsi="Times New Roman"/>
          <w:color w:val="auto"/>
          <w:sz w:val="24"/>
          <w:szCs w:val="24"/>
          <w:highlight w:val="none"/>
        </w:rPr>
        <w:t>15</w:t>
      </w:r>
      <w:r>
        <w:rPr>
          <w:rFonts w:hint="eastAsia" w:ascii="Times New Roman" w:hAnsi="Times New Roman"/>
          <w:color w:val="auto"/>
          <w:sz w:val="24"/>
          <w:szCs w:val="24"/>
          <w:highlight w:val="none"/>
        </w:rPr>
        <w:t>天前，采购人可以修改招标文件，并以变更公告形式通知所有已获取招标文件的供应商，不再发放纸质的变更信息。供应商应随时注意网上发布的信息。如果修改招标文件的时间距投标截止时间不足</w:t>
      </w:r>
      <w:r>
        <w:rPr>
          <w:rFonts w:ascii="Times New Roman" w:hAnsi="Times New Roman"/>
          <w:color w:val="auto"/>
          <w:sz w:val="24"/>
          <w:szCs w:val="24"/>
          <w:highlight w:val="none"/>
        </w:rPr>
        <w:t>15</w:t>
      </w:r>
      <w:r>
        <w:rPr>
          <w:rFonts w:hint="eastAsia" w:ascii="Times New Roman" w:hAnsi="Times New Roman"/>
          <w:color w:val="auto"/>
          <w:sz w:val="24"/>
          <w:szCs w:val="24"/>
          <w:highlight w:val="none"/>
        </w:rPr>
        <w:t>日的，并且修改内容可能影响投标文件编制的，将相应延长投标截止时间。</w:t>
      </w:r>
      <w:r>
        <w:rPr>
          <w:rFonts w:ascii="Times New Roman" w:hAnsi="Times New Roman"/>
          <w:color w:val="auto"/>
          <w:sz w:val="24"/>
          <w:szCs w:val="24"/>
          <w:highlight w:val="none"/>
        </w:rPr>
        <w:t xml:space="preserve"> </w:t>
      </w:r>
    </w:p>
    <w:p w14:paraId="7C14E127">
      <w:pPr>
        <w:spacing w:line="360" w:lineRule="auto"/>
        <w:ind w:firstLine="410" w:firstLineChars="171"/>
        <w:jc w:val="left"/>
        <w:rPr>
          <w:rFonts w:ascii="Times New Roman" w:hAnsi="Times New Roman"/>
          <w:color w:val="auto"/>
          <w:sz w:val="24"/>
          <w:szCs w:val="24"/>
          <w:highlight w:val="none"/>
        </w:rPr>
      </w:pPr>
      <w:r>
        <w:rPr>
          <w:rFonts w:ascii="Times New Roman" w:hAnsi="Times New Roman"/>
          <w:color w:val="auto"/>
          <w:sz w:val="24"/>
          <w:szCs w:val="24"/>
          <w:highlight w:val="none"/>
        </w:rPr>
        <w:t>8.2.2</w:t>
      </w:r>
      <w:r>
        <w:rPr>
          <w:rFonts w:hint="eastAsia" w:ascii="Times New Roman" w:hAnsi="Times New Roman"/>
          <w:color w:val="auto"/>
          <w:sz w:val="24"/>
          <w:szCs w:val="24"/>
          <w:highlight w:val="none"/>
        </w:rPr>
        <w:t>供应商应在变更公告发布相关网站（同招标公告发布媒介）自行查看招标文件修改信息。</w:t>
      </w:r>
    </w:p>
    <w:p w14:paraId="7FDDA0FB">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 xml:space="preserve">8.3 </w:t>
      </w:r>
      <w:r>
        <w:rPr>
          <w:rFonts w:hint="eastAsia" w:ascii="Times New Roman" w:hAnsi="Times New Roman"/>
          <w:color w:val="auto"/>
          <w:sz w:val="24"/>
          <w:szCs w:val="24"/>
          <w:highlight w:val="none"/>
        </w:rPr>
        <w:t>矛盾文件处理</w:t>
      </w:r>
    </w:p>
    <w:p w14:paraId="4B6498CE">
      <w:pPr>
        <w:spacing w:line="360" w:lineRule="auto"/>
        <w:ind w:firstLine="480" w:firstLineChars="20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当招标文件、澄清文件、修改文件等文件内容相互矛盾时，以后发生的文件内容为准。</w:t>
      </w:r>
    </w:p>
    <w:p w14:paraId="2CBF23C2">
      <w:pPr>
        <w:keepNext/>
        <w:keepLines/>
        <w:spacing w:line="360" w:lineRule="auto"/>
        <w:jc w:val="center"/>
        <w:outlineLvl w:val="1"/>
        <w:rPr>
          <w:rFonts w:ascii="Times New Roman" w:hAnsi="Times New Roman"/>
          <w:b/>
          <w:bCs/>
          <w:color w:val="auto"/>
          <w:sz w:val="24"/>
          <w:szCs w:val="24"/>
          <w:highlight w:val="none"/>
        </w:rPr>
      </w:pPr>
      <w:bookmarkStart w:id="101" w:name="_Toc508113521"/>
      <w:bookmarkStart w:id="102" w:name="_Toc15117"/>
      <w:bookmarkStart w:id="103" w:name="_Toc508873148"/>
      <w:bookmarkStart w:id="104" w:name="_Toc517338596"/>
      <w:bookmarkStart w:id="105" w:name="_Toc479341567"/>
      <w:bookmarkStart w:id="106" w:name="_Toc525836312"/>
      <w:bookmarkStart w:id="107" w:name="_Toc176358328"/>
      <w:r>
        <w:rPr>
          <w:rFonts w:hint="eastAsia" w:ascii="Times New Roman" w:hAnsi="Times New Roman"/>
          <w:b/>
          <w:bCs/>
          <w:color w:val="auto"/>
          <w:sz w:val="24"/>
          <w:szCs w:val="24"/>
          <w:highlight w:val="none"/>
        </w:rPr>
        <w:t>三、投标文件</w:t>
      </w:r>
      <w:bookmarkEnd w:id="101"/>
      <w:bookmarkEnd w:id="102"/>
      <w:bookmarkEnd w:id="103"/>
      <w:bookmarkEnd w:id="104"/>
      <w:bookmarkEnd w:id="105"/>
      <w:bookmarkEnd w:id="106"/>
      <w:bookmarkEnd w:id="107"/>
    </w:p>
    <w:p w14:paraId="2C789BF7">
      <w:pPr>
        <w:keepNext/>
        <w:keepLines/>
        <w:spacing w:line="360" w:lineRule="auto"/>
        <w:jc w:val="left"/>
        <w:outlineLvl w:val="2"/>
        <w:rPr>
          <w:rFonts w:ascii="Times New Roman" w:hAnsi="Times New Roman"/>
          <w:b/>
          <w:bCs/>
          <w:color w:val="auto"/>
          <w:sz w:val="24"/>
          <w:szCs w:val="24"/>
          <w:highlight w:val="none"/>
        </w:rPr>
      </w:pPr>
      <w:bookmarkStart w:id="108" w:name="_Toc113892421"/>
      <w:bookmarkStart w:id="109" w:name="_Toc170287626"/>
      <w:bookmarkStart w:id="110" w:name="_Toc176358329"/>
      <w:bookmarkStart w:id="111" w:name="_Toc170287278"/>
      <w:bookmarkStart w:id="112" w:name="_Toc113891909"/>
      <w:bookmarkStart w:id="113" w:name="_Toc151210121"/>
      <w:r>
        <w:rPr>
          <w:rFonts w:ascii="Times New Roman" w:hAnsi="Times New Roman"/>
          <w:b/>
          <w:bCs/>
          <w:color w:val="auto"/>
          <w:sz w:val="24"/>
          <w:szCs w:val="24"/>
          <w:highlight w:val="none"/>
        </w:rPr>
        <w:t>9</w:t>
      </w:r>
      <w:r>
        <w:rPr>
          <w:rFonts w:hint="eastAsia" w:ascii="Times New Roman" w:hAnsi="Times New Roman"/>
          <w:b/>
          <w:bCs/>
          <w:color w:val="auto"/>
          <w:sz w:val="24"/>
          <w:szCs w:val="24"/>
          <w:highlight w:val="none"/>
        </w:rPr>
        <w:t>、特别说明</w:t>
      </w:r>
      <w:bookmarkEnd w:id="108"/>
      <w:bookmarkEnd w:id="109"/>
      <w:bookmarkEnd w:id="110"/>
      <w:bookmarkEnd w:id="111"/>
      <w:bookmarkEnd w:id="112"/>
      <w:bookmarkEnd w:id="113"/>
    </w:p>
    <w:p w14:paraId="11279B94">
      <w:pPr>
        <w:tabs>
          <w:tab w:val="left" w:pos="1080"/>
          <w:tab w:val="left" w:pos="1260"/>
        </w:tabs>
        <w:spacing w:line="360" w:lineRule="auto"/>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9.1</w:t>
      </w:r>
      <w:r>
        <w:rPr>
          <w:rFonts w:hint="eastAsia" w:ascii="Times New Roman" w:hAnsi="Times New Roman"/>
          <w:color w:val="auto"/>
          <w:sz w:val="24"/>
          <w:szCs w:val="24"/>
          <w:highlight w:val="none"/>
        </w:rPr>
        <w:t>投标语言</w:t>
      </w:r>
    </w:p>
    <w:p w14:paraId="248342F9">
      <w:pPr>
        <w:tabs>
          <w:tab w:val="left" w:pos="1080"/>
          <w:tab w:val="left" w:pos="1260"/>
        </w:tabs>
        <w:spacing w:line="360" w:lineRule="auto"/>
        <w:ind w:firstLine="480" w:firstLineChars="20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供应商提交的投标文件以及供应商有关投标的所有来往函电均应使用简体中文。</w:t>
      </w:r>
    </w:p>
    <w:p w14:paraId="2DADFD97">
      <w:pPr>
        <w:tabs>
          <w:tab w:val="left" w:pos="1080"/>
          <w:tab w:val="left" w:pos="1260"/>
        </w:tabs>
        <w:spacing w:line="360" w:lineRule="auto"/>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9.2</w:t>
      </w:r>
      <w:r>
        <w:rPr>
          <w:rFonts w:hint="eastAsia" w:ascii="Times New Roman" w:hAnsi="Times New Roman"/>
          <w:color w:val="auto"/>
          <w:sz w:val="24"/>
          <w:szCs w:val="24"/>
          <w:highlight w:val="none"/>
        </w:rPr>
        <w:t>计量</w:t>
      </w:r>
    </w:p>
    <w:p w14:paraId="179E1793">
      <w:pPr>
        <w:tabs>
          <w:tab w:val="left" w:pos="1080"/>
          <w:tab w:val="left" w:pos="1260"/>
        </w:tabs>
        <w:spacing w:line="360" w:lineRule="auto"/>
        <w:ind w:firstLine="480" w:firstLineChars="20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在电子化投标文件所有计量单位均采用中华人民共和国法定计量单位。</w:t>
      </w:r>
    </w:p>
    <w:p w14:paraId="285B2CB5">
      <w:pPr>
        <w:tabs>
          <w:tab w:val="left" w:pos="1080"/>
          <w:tab w:val="left" w:pos="1260"/>
        </w:tabs>
        <w:spacing w:line="360" w:lineRule="auto"/>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9.3</w:t>
      </w:r>
      <w:r>
        <w:rPr>
          <w:rFonts w:hint="eastAsia" w:ascii="Times New Roman" w:hAnsi="Times New Roman"/>
          <w:color w:val="auto"/>
          <w:sz w:val="24"/>
          <w:szCs w:val="24"/>
          <w:highlight w:val="none"/>
        </w:rPr>
        <w:t>投标供应商在投标文件中所提交的所有资料和文件均应是真实的和有效的，如有作假，则将该投标供应商的投标作无效标处理，若中标后被发现有上述行为的，则采购人有权取消其中标资格，并且该投标供应商应承担由此而造成的一切损失（包括经济损失和法律责任）。</w:t>
      </w:r>
    </w:p>
    <w:p w14:paraId="3AF13706">
      <w:pPr>
        <w:keepNext/>
        <w:keepLines/>
        <w:spacing w:line="360" w:lineRule="auto"/>
        <w:jc w:val="left"/>
        <w:outlineLvl w:val="2"/>
        <w:rPr>
          <w:rFonts w:ascii="Times New Roman" w:hAnsi="Times New Roman"/>
          <w:b/>
          <w:bCs/>
          <w:color w:val="auto"/>
          <w:sz w:val="24"/>
          <w:szCs w:val="24"/>
          <w:highlight w:val="none"/>
        </w:rPr>
      </w:pPr>
      <w:bookmarkStart w:id="114" w:name="_Toc170287279"/>
      <w:bookmarkStart w:id="115" w:name="_Toc113892422"/>
      <w:bookmarkStart w:id="116" w:name="_Toc176358330"/>
      <w:bookmarkStart w:id="117" w:name="_Toc151210122"/>
      <w:bookmarkStart w:id="118" w:name="_Toc113891910"/>
      <w:bookmarkStart w:id="119" w:name="_Toc170287627"/>
      <w:r>
        <w:rPr>
          <w:rFonts w:ascii="Times New Roman" w:hAnsi="Times New Roman"/>
          <w:b/>
          <w:bCs/>
          <w:color w:val="auto"/>
          <w:sz w:val="24"/>
          <w:szCs w:val="24"/>
          <w:highlight w:val="none"/>
        </w:rPr>
        <w:t>10</w:t>
      </w:r>
      <w:r>
        <w:rPr>
          <w:rFonts w:hint="eastAsia" w:ascii="Times New Roman" w:hAnsi="Times New Roman"/>
          <w:b/>
          <w:bCs/>
          <w:color w:val="auto"/>
          <w:sz w:val="24"/>
          <w:szCs w:val="24"/>
          <w:highlight w:val="none"/>
        </w:rPr>
        <w:t>、投标文件的组成</w:t>
      </w:r>
      <w:bookmarkEnd w:id="114"/>
      <w:bookmarkEnd w:id="115"/>
      <w:bookmarkEnd w:id="116"/>
      <w:bookmarkEnd w:id="117"/>
      <w:bookmarkEnd w:id="118"/>
      <w:bookmarkEnd w:id="119"/>
    </w:p>
    <w:p w14:paraId="6E0CD5B0">
      <w:pPr>
        <w:tabs>
          <w:tab w:val="left" w:pos="1080"/>
          <w:tab w:val="left" w:pos="1260"/>
        </w:tabs>
        <w:spacing w:line="360" w:lineRule="auto"/>
        <w:ind w:firstLine="480" w:firstLineChars="20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投标文件应包括下列内容：</w:t>
      </w:r>
    </w:p>
    <w:p w14:paraId="7034C39B">
      <w:pPr>
        <w:spacing w:line="360" w:lineRule="auto"/>
        <w:ind w:firstLine="480" w:firstLineChars="200"/>
        <w:rPr>
          <w:rFonts w:ascii="Times New Roman" w:hAnsi="Times New Roman"/>
          <w:color w:val="auto"/>
          <w:sz w:val="24"/>
          <w:szCs w:val="24"/>
          <w:highlight w:val="none"/>
        </w:rPr>
      </w:pPr>
      <w:bookmarkStart w:id="120" w:name="_Toc390"/>
      <w:bookmarkStart w:id="121" w:name="_Toc479341569"/>
      <w:r>
        <w:rPr>
          <w:rFonts w:hint="eastAsia" w:ascii="Times New Roman" w:hAnsi="Times New Roman"/>
          <w:color w:val="auto"/>
          <w:sz w:val="24"/>
          <w:szCs w:val="24"/>
          <w:highlight w:val="none"/>
        </w:rPr>
        <w:t>一、投标函及投标函附录</w:t>
      </w:r>
    </w:p>
    <w:p w14:paraId="2FD083DF">
      <w:pPr>
        <w:spacing w:line="360" w:lineRule="auto"/>
        <w:ind w:left="485"/>
        <w:rPr>
          <w:rFonts w:ascii="Times New Roman" w:hAnsi="Times New Roman"/>
          <w:color w:val="auto"/>
          <w:sz w:val="24"/>
          <w:szCs w:val="24"/>
          <w:highlight w:val="none"/>
        </w:rPr>
      </w:pPr>
      <w:r>
        <w:rPr>
          <w:rFonts w:hint="eastAsia" w:ascii="Times New Roman" w:hAnsi="Times New Roman"/>
          <w:color w:val="auto"/>
          <w:sz w:val="24"/>
          <w:szCs w:val="24"/>
          <w:highlight w:val="none"/>
        </w:rPr>
        <w:t>二、投标报价明细表；</w:t>
      </w:r>
    </w:p>
    <w:p w14:paraId="233E36DC">
      <w:pPr>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三、法定代表人身份证明；</w:t>
      </w:r>
    </w:p>
    <w:p w14:paraId="73BC7014">
      <w:pPr>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四、法定代表人授权委托书；</w:t>
      </w:r>
    </w:p>
    <w:p w14:paraId="56B74975">
      <w:pPr>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五、商务和技术偏差表；</w:t>
      </w:r>
    </w:p>
    <w:p w14:paraId="11D3D1C6">
      <w:pPr>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六、供应商资格证明文件；</w:t>
      </w:r>
    </w:p>
    <w:p w14:paraId="7C51E953">
      <w:pPr>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七、技术证明资料；</w:t>
      </w:r>
    </w:p>
    <w:p w14:paraId="1F7ECE69">
      <w:pPr>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八、技术方案；</w:t>
      </w:r>
    </w:p>
    <w:p w14:paraId="33BF7951">
      <w:pPr>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九、投标承诺函；</w:t>
      </w:r>
    </w:p>
    <w:p w14:paraId="2B21F81A">
      <w:pPr>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十、投标供应商认为需要提供的其他资料。</w:t>
      </w:r>
    </w:p>
    <w:p w14:paraId="4CCB839D">
      <w:pPr>
        <w:keepNext/>
        <w:keepLines/>
        <w:spacing w:line="360" w:lineRule="auto"/>
        <w:jc w:val="left"/>
        <w:outlineLvl w:val="2"/>
        <w:rPr>
          <w:rFonts w:ascii="Times New Roman" w:hAnsi="Times New Roman"/>
          <w:b/>
          <w:bCs/>
          <w:color w:val="auto"/>
          <w:sz w:val="24"/>
          <w:szCs w:val="24"/>
          <w:highlight w:val="none"/>
        </w:rPr>
      </w:pPr>
      <w:bookmarkStart w:id="122" w:name="_Toc151210123"/>
      <w:bookmarkStart w:id="123" w:name="_Toc170287628"/>
      <w:bookmarkStart w:id="124" w:name="_Toc176358331"/>
      <w:bookmarkStart w:id="125" w:name="_Toc508113523"/>
      <w:bookmarkStart w:id="126" w:name="_Toc509822578"/>
      <w:bookmarkStart w:id="127" w:name="_Toc113892423"/>
      <w:bookmarkStart w:id="128" w:name="_Toc517338598"/>
      <w:bookmarkStart w:id="129" w:name="_Toc170287280"/>
      <w:bookmarkStart w:id="130" w:name="_Toc522288462"/>
      <w:bookmarkStart w:id="131" w:name="_Toc113891911"/>
      <w:r>
        <w:rPr>
          <w:rFonts w:ascii="Times New Roman" w:hAnsi="Times New Roman"/>
          <w:b/>
          <w:bCs/>
          <w:color w:val="auto"/>
          <w:sz w:val="24"/>
          <w:szCs w:val="24"/>
          <w:highlight w:val="none"/>
        </w:rPr>
        <w:t>11</w:t>
      </w:r>
      <w:r>
        <w:rPr>
          <w:rFonts w:hint="eastAsia" w:ascii="Times New Roman" w:hAnsi="Times New Roman"/>
          <w:b/>
          <w:bCs/>
          <w:color w:val="auto"/>
          <w:sz w:val="24"/>
          <w:szCs w:val="24"/>
          <w:highlight w:val="none"/>
        </w:rPr>
        <w:t>、投标报价</w:t>
      </w:r>
      <w:bookmarkEnd w:id="120"/>
      <w:bookmarkEnd w:id="121"/>
      <w:bookmarkEnd w:id="122"/>
      <w:bookmarkEnd w:id="123"/>
      <w:bookmarkEnd w:id="124"/>
      <w:bookmarkEnd w:id="125"/>
      <w:bookmarkEnd w:id="126"/>
      <w:bookmarkEnd w:id="127"/>
      <w:bookmarkEnd w:id="128"/>
      <w:bookmarkEnd w:id="129"/>
      <w:bookmarkEnd w:id="130"/>
      <w:bookmarkEnd w:id="131"/>
    </w:p>
    <w:p w14:paraId="0557AF96">
      <w:pPr>
        <w:spacing w:line="360" w:lineRule="auto"/>
        <w:ind w:firstLine="480" w:firstLineChars="200"/>
        <w:jc w:val="left"/>
        <w:rPr>
          <w:rFonts w:ascii="Times New Roman" w:hAnsi="Times New Roman"/>
          <w:color w:val="auto"/>
          <w:sz w:val="24"/>
          <w:szCs w:val="24"/>
          <w:highlight w:val="none"/>
        </w:rPr>
      </w:pPr>
      <w:bookmarkStart w:id="132" w:name="_Toc418"/>
      <w:r>
        <w:rPr>
          <w:rFonts w:ascii="Times New Roman" w:hAnsi="Times New Roman"/>
          <w:color w:val="auto"/>
          <w:sz w:val="24"/>
          <w:szCs w:val="24"/>
          <w:highlight w:val="none"/>
        </w:rPr>
        <w:t>11.1</w:t>
      </w:r>
      <w:r>
        <w:rPr>
          <w:rFonts w:hint="eastAsia" w:ascii="Times New Roman" w:hAnsi="Times New Roman"/>
          <w:color w:val="auto"/>
          <w:sz w:val="24"/>
          <w:szCs w:val="24"/>
          <w:highlight w:val="none"/>
        </w:rPr>
        <w:t>投标报价的单价和总价均以人民币表示，金额以“元”为单位。</w:t>
      </w:r>
    </w:p>
    <w:p w14:paraId="41B2C5FE">
      <w:pPr>
        <w:spacing w:line="360" w:lineRule="auto"/>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11.2</w:t>
      </w:r>
      <w:r>
        <w:rPr>
          <w:rFonts w:hint="eastAsia" w:ascii="Times New Roman" w:hAnsi="Times New Roman"/>
          <w:color w:val="auto"/>
          <w:sz w:val="24"/>
          <w:szCs w:val="24"/>
          <w:highlight w:val="none"/>
        </w:rPr>
        <w:t>供应商应对本招标文件、澄清、修改及补充文件等列入招标范围的全部内容进行投标报价。</w:t>
      </w:r>
    </w:p>
    <w:p w14:paraId="3190006F">
      <w:pPr>
        <w:spacing w:line="360" w:lineRule="auto"/>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11.3</w:t>
      </w:r>
      <w:r>
        <w:rPr>
          <w:rFonts w:hint="eastAsia" w:ascii="Times New Roman" w:hAnsi="Times New Roman"/>
          <w:color w:val="auto"/>
          <w:sz w:val="24"/>
          <w:szCs w:val="24"/>
          <w:highlight w:val="none"/>
        </w:rPr>
        <w:t>供应商投标报价以采购范围为基础进行报价。依据招标文件、有关技术资料及答疑纪要，充分考虑市场价格、风险因素，在合理范围内自主报价。</w:t>
      </w:r>
    </w:p>
    <w:p w14:paraId="32BF349B">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11.4</w:t>
      </w:r>
      <w:r>
        <w:rPr>
          <w:rFonts w:hint="eastAsia" w:ascii="Times New Roman" w:hAnsi="Times New Roman"/>
          <w:color w:val="auto"/>
          <w:sz w:val="24"/>
          <w:szCs w:val="24"/>
          <w:highlight w:val="none"/>
        </w:rPr>
        <w:t>报价方式：</w:t>
      </w:r>
      <w:r>
        <w:rPr>
          <w:rFonts w:hint="eastAsia" w:ascii="Times New Roman" w:hAnsi="Times New Roman"/>
          <w:color w:val="auto"/>
          <w:spacing w:val="-4"/>
          <w:sz w:val="24"/>
          <w:szCs w:val="24"/>
          <w:highlight w:val="none"/>
        </w:rPr>
        <w:t>投标报价为投标供应商在投标文件中提出的各项支付金额的总和。投标</w:t>
      </w:r>
      <w:r>
        <w:rPr>
          <w:rFonts w:hint="eastAsia" w:ascii="Times New Roman" w:hAnsi="Times New Roman"/>
          <w:color w:val="auto"/>
          <w:sz w:val="24"/>
          <w:szCs w:val="24"/>
          <w:highlight w:val="none"/>
        </w:rPr>
        <w:t>总报价（含税），总报价应为货到交货地点价。其中应包含货物，运输费，安装费，调试费、税金、技术支持、售后服务等与此项目相关的全部费用（投标供应商的报价视为已包括上述全部费用）。</w:t>
      </w:r>
    </w:p>
    <w:p w14:paraId="3DD69E4D">
      <w:pPr>
        <w:spacing w:line="360" w:lineRule="auto"/>
        <w:ind w:firstLine="480"/>
        <w:jc w:val="left"/>
        <w:rPr>
          <w:rFonts w:ascii="Times New Roman" w:hAnsi="Times New Roman"/>
          <w:color w:val="auto"/>
          <w:sz w:val="24"/>
          <w:szCs w:val="24"/>
          <w:highlight w:val="none"/>
        </w:rPr>
      </w:pPr>
      <w:r>
        <w:rPr>
          <w:rFonts w:ascii="Times New Roman" w:hAnsi="Times New Roman"/>
          <w:color w:val="auto"/>
          <w:sz w:val="24"/>
          <w:szCs w:val="24"/>
          <w:highlight w:val="none"/>
        </w:rPr>
        <w:t>11.5</w:t>
      </w:r>
      <w:r>
        <w:rPr>
          <w:rFonts w:hint="eastAsia" w:ascii="Times New Roman" w:hAnsi="Times New Roman"/>
          <w:color w:val="auto"/>
          <w:sz w:val="24"/>
          <w:szCs w:val="24"/>
          <w:highlight w:val="none"/>
        </w:rPr>
        <w:t>投标文件中投标函、投标函附录、投标报价明细表等所有报价均一致。若出现不一致时以投标报价明细表报价为准。</w:t>
      </w:r>
    </w:p>
    <w:p w14:paraId="2A2D0076">
      <w:pPr>
        <w:spacing w:line="360" w:lineRule="auto"/>
        <w:ind w:firstLine="480"/>
        <w:jc w:val="left"/>
        <w:rPr>
          <w:rFonts w:ascii="Times New Roman" w:hAnsi="Times New Roman"/>
          <w:color w:val="auto"/>
          <w:sz w:val="24"/>
          <w:szCs w:val="24"/>
          <w:highlight w:val="none"/>
        </w:rPr>
      </w:pPr>
      <w:r>
        <w:rPr>
          <w:rFonts w:ascii="Times New Roman" w:hAnsi="Times New Roman"/>
          <w:color w:val="auto"/>
          <w:sz w:val="24"/>
          <w:szCs w:val="24"/>
          <w:highlight w:val="none"/>
        </w:rPr>
        <w:t>11.6</w:t>
      </w:r>
      <w:r>
        <w:rPr>
          <w:rFonts w:hint="eastAsia" w:ascii="Times New Roman" w:hAnsi="Times New Roman"/>
          <w:color w:val="auto"/>
          <w:sz w:val="24"/>
          <w:szCs w:val="24"/>
          <w:highlight w:val="none"/>
        </w:rPr>
        <w:t>投标文件中只允许有一个投标报价。</w:t>
      </w:r>
    </w:p>
    <w:p w14:paraId="154ACB20">
      <w:pPr>
        <w:spacing w:line="360" w:lineRule="auto"/>
        <w:ind w:firstLine="480"/>
        <w:jc w:val="left"/>
        <w:rPr>
          <w:rFonts w:ascii="Times New Roman" w:hAnsi="Times New Roman"/>
          <w:color w:val="auto"/>
          <w:sz w:val="24"/>
          <w:szCs w:val="24"/>
          <w:highlight w:val="none"/>
        </w:rPr>
      </w:pPr>
      <w:r>
        <w:rPr>
          <w:rFonts w:ascii="Times New Roman" w:hAnsi="Times New Roman"/>
          <w:color w:val="auto"/>
          <w:spacing w:val="-6"/>
          <w:sz w:val="24"/>
          <w:szCs w:val="24"/>
          <w:highlight w:val="none"/>
        </w:rPr>
        <w:t>11.7</w:t>
      </w:r>
      <w:r>
        <w:rPr>
          <w:rFonts w:hint="eastAsia" w:ascii="Times New Roman" w:hAnsi="Times New Roman"/>
          <w:color w:val="auto"/>
          <w:spacing w:val="-6"/>
          <w:sz w:val="24"/>
          <w:szCs w:val="24"/>
          <w:highlight w:val="none"/>
        </w:rPr>
        <w:t>投标供应商在投标截止时间前修改投标函中的投标总报价，应同时修改投标报价明细表中的相应报价。此修改须符合招标文件的有关要求。</w:t>
      </w:r>
    </w:p>
    <w:p w14:paraId="688BD1AF">
      <w:pPr>
        <w:spacing w:line="360" w:lineRule="auto"/>
        <w:ind w:firstLine="480"/>
        <w:jc w:val="left"/>
        <w:rPr>
          <w:rFonts w:ascii="Times New Roman" w:hAnsi="Times New Roman"/>
          <w:color w:val="auto"/>
          <w:sz w:val="24"/>
          <w:szCs w:val="24"/>
          <w:highlight w:val="none"/>
        </w:rPr>
      </w:pPr>
      <w:r>
        <w:rPr>
          <w:rFonts w:ascii="Times New Roman" w:hAnsi="Times New Roman"/>
          <w:color w:val="auto"/>
          <w:spacing w:val="-6"/>
          <w:sz w:val="24"/>
          <w:szCs w:val="24"/>
          <w:highlight w:val="none"/>
        </w:rPr>
        <w:t>11.8</w:t>
      </w:r>
      <w:r>
        <w:rPr>
          <w:rFonts w:hint="eastAsia" w:ascii="Times New Roman" w:hAnsi="Times New Roman"/>
          <w:color w:val="auto"/>
          <w:spacing w:val="-6"/>
          <w:sz w:val="24"/>
          <w:szCs w:val="24"/>
          <w:highlight w:val="none"/>
        </w:rPr>
        <w:t>当投标供应商的投标报价大写金额和小写金额不一致的，以大写金额为准；</w:t>
      </w:r>
    </w:p>
    <w:p w14:paraId="080352A8">
      <w:pPr>
        <w:spacing w:line="360" w:lineRule="auto"/>
        <w:ind w:firstLine="480"/>
        <w:jc w:val="left"/>
        <w:rPr>
          <w:rFonts w:ascii="Times New Roman" w:hAnsi="Times New Roman"/>
          <w:color w:val="auto"/>
          <w:spacing w:val="-6"/>
          <w:sz w:val="24"/>
          <w:szCs w:val="24"/>
          <w:highlight w:val="none"/>
        </w:rPr>
      </w:pPr>
      <w:r>
        <w:rPr>
          <w:rFonts w:ascii="Times New Roman" w:hAnsi="Times New Roman"/>
          <w:color w:val="auto"/>
          <w:spacing w:val="-6"/>
          <w:sz w:val="24"/>
          <w:szCs w:val="24"/>
          <w:highlight w:val="none"/>
        </w:rPr>
        <w:t>11.9</w:t>
      </w:r>
      <w:r>
        <w:rPr>
          <w:rFonts w:hint="eastAsia" w:ascii="Times New Roman" w:hAnsi="Times New Roman"/>
          <w:color w:val="auto"/>
          <w:spacing w:val="-6"/>
          <w:sz w:val="24"/>
          <w:szCs w:val="24"/>
          <w:highlight w:val="none"/>
        </w:rPr>
        <w:t>当投标供应商的投标报价高于最高限价时，该投标供应商的投标报价为无效报价，其投标文件按无效投标文件处理。</w:t>
      </w:r>
    </w:p>
    <w:p w14:paraId="49FDADFF">
      <w:pPr>
        <w:spacing w:line="500" w:lineRule="exact"/>
        <w:ind w:firstLine="560"/>
        <w:rPr>
          <w:rFonts w:ascii="Times New Roman" w:hAnsi="Times New Roman"/>
          <w:color w:val="auto"/>
          <w:spacing w:val="-6"/>
          <w:sz w:val="24"/>
          <w:highlight w:val="none"/>
        </w:rPr>
      </w:pPr>
      <w:r>
        <w:rPr>
          <w:rFonts w:ascii="Times New Roman" w:hAnsi="Times New Roman"/>
          <w:color w:val="auto"/>
          <w:sz w:val="24"/>
          <w:szCs w:val="24"/>
          <w:highlight w:val="none"/>
        </w:rPr>
        <w:t>11.10</w:t>
      </w:r>
      <w:r>
        <w:rPr>
          <w:rFonts w:hint="eastAsia" w:ascii="Times New Roman" w:hAnsi="Times New Roman"/>
          <w:color w:val="auto"/>
          <w:sz w:val="24"/>
          <w:szCs w:val="24"/>
          <w:highlight w:val="none"/>
        </w:rPr>
        <w:t>为实现物有所值的采购目标，保证本项目产品质量、能诚信履约，按照政府采购法及其相关规定，兼顾采购成本、使用成本、履约风险、后期维护成本的有机统一和项目生命周期总支付成本最低，如评标委员会认为供应商投标报价、产品质量性能可能不满足采购需求的，评标委员会应当要求该供应商在规定的时间内提供成本构成等书面说明，并提交相关证明材料予以证实；否则，按无效投标处理。</w:t>
      </w:r>
    </w:p>
    <w:p w14:paraId="69B2116A">
      <w:pPr>
        <w:keepNext/>
        <w:keepLines/>
        <w:spacing w:line="360" w:lineRule="auto"/>
        <w:jc w:val="left"/>
        <w:outlineLvl w:val="2"/>
        <w:rPr>
          <w:rFonts w:ascii="Times New Roman" w:hAnsi="Times New Roman"/>
          <w:b/>
          <w:bCs/>
          <w:color w:val="auto"/>
          <w:sz w:val="24"/>
          <w:szCs w:val="24"/>
          <w:highlight w:val="none"/>
        </w:rPr>
      </w:pPr>
      <w:bookmarkStart w:id="133" w:name="_Toc176358332"/>
      <w:bookmarkStart w:id="134" w:name="_Toc151210124"/>
      <w:bookmarkStart w:id="135" w:name="_Toc113891912"/>
      <w:bookmarkStart w:id="136" w:name="_Toc170287629"/>
      <w:bookmarkStart w:id="137" w:name="_Toc113892424"/>
      <w:bookmarkStart w:id="138" w:name="_Toc170287281"/>
      <w:r>
        <w:rPr>
          <w:rFonts w:ascii="Times New Roman" w:hAnsi="Times New Roman"/>
          <w:b/>
          <w:bCs/>
          <w:color w:val="auto"/>
          <w:sz w:val="24"/>
          <w:szCs w:val="24"/>
          <w:highlight w:val="none"/>
        </w:rPr>
        <w:t>12</w:t>
      </w:r>
      <w:r>
        <w:rPr>
          <w:rFonts w:hint="eastAsia" w:ascii="Times New Roman" w:hAnsi="Times New Roman"/>
          <w:b/>
          <w:bCs/>
          <w:color w:val="auto"/>
          <w:sz w:val="24"/>
          <w:szCs w:val="24"/>
          <w:highlight w:val="none"/>
        </w:rPr>
        <w:t>、投标货币</w:t>
      </w:r>
      <w:bookmarkEnd w:id="133"/>
      <w:bookmarkEnd w:id="134"/>
      <w:bookmarkEnd w:id="135"/>
      <w:bookmarkEnd w:id="136"/>
      <w:bookmarkEnd w:id="137"/>
      <w:bookmarkEnd w:id="138"/>
    </w:p>
    <w:p w14:paraId="189DCC37">
      <w:pPr>
        <w:spacing w:line="360" w:lineRule="auto"/>
        <w:ind w:firstLine="480" w:firstLineChars="20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供应商提供的所有服务用人民币报价。</w:t>
      </w:r>
    </w:p>
    <w:p w14:paraId="2474C57C">
      <w:pPr>
        <w:keepNext/>
        <w:keepLines/>
        <w:spacing w:line="360" w:lineRule="auto"/>
        <w:jc w:val="left"/>
        <w:outlineLvl w:val="2"/>
        <w:rPr>
          <w:rFonts w:ascii="Times New Roman" w:hAnsi="Times New Roman"/>
          <w:b/>
          <w:bCs/>
          <w:color w:val="auto"/>
          <w:sz w:val="24"/>
          <w:szCs w:val="24"/>
          <w:highlight w:val="none"/>
        </w:rPr>
      </w:pPr>
      <w:bookmarkStart w:id="139" w:name="_Toc113892425"/>
      <w:bookmarkStart w:id="140" w:name="_Toc170287630"/>
      <w:bookmarkStart w:id="141" w:name="_Toc176358333"/>
      <w:bookmarkStart w:id="142" w:name="_Toc170287282"/>
      <w:bookmarkStart w:id="143" w:name="_Toc151210125"/>
      <w:bookmarkStart w:id="144" w:name="_Toc113891913"/>
      <w:r>
        <w:rPr>
          <w:rFonts w:ascii="Times New Roman" w:hAnsi="Times New Roman"/>
          <w:b/>
          <w:bCs/>
          <w:color w:val="auto"/>
          <w:sz w:val="24"/>
          <w:szCs w:val="24"/>
          <w:highlight w:val="none"/>
        </w:rPr>
        <w:t>13</w:t>
      </w:r>
      <w:r>
        <w:rPr>
          <w:rFonts w:hint="eastAsia" w:ascii="Times New Roman" w:hAnsi="Times New Roman"/>
          <w:b/>
          <w:bCs/>
          <w:color w:val="auto"/>
          <w:sz w:val="24"/>
          <w:szCs w:val="24"/>
          <w:highlight w:val="none"/>
        </w:rPr>
        <w:t>、技术性能及质量服务要求的响应</w:t>
      </w:r>
      <w:bookmarkEnd w:id="139"/>
      <w:bookmarkEnd w:id="140"/>
      <w:bookmarkEnd w:id="141"/>
      <w:bookmarkEnd w:id="142"/>
      <w:bookmarkEnd w:id="143"/>
      <w:bookmarkEnd w:id="144"/>
    </w:p>
    <w:p w14:paraId="23097D37">
      <w:pPr>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投标技术说明应按照招标文件的要求就所投项目的服务要求、技术参数和性能等方面逐条详细说明、做出实质性响应，并申明与技术规格条文的偏差和例外。</w:t>
      </w:r>
    </w:p>
    <w:p w14:paraId="7C72DC24">
      <w:pPr>
        <w:spacing w:line="464"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13.1</w:t>
      </w:r>
      <w:r>
        <w:rPr>
          <w:rFonts w:hint="eastAsia" w:ascii="Times New Roman" w:hAnsi="Times New Roman"/>
          <w:color w:val="auto"/>
          <w:sz w:val="24"/>
          <w:szCs w:val="24"/>
          <w:highlight w:val="none"/>
        </w:rPr>
        <w:t>各投标供应商必须对设备清单中的全部设备进行投标。</w:t>
      </w:r>
    </w:p>
    <w:p w14:paraId="201B187E">
      <w:pPr>
        <w:spacing w:line="464"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13.1.1</w:t>
      </w:r>
      <w:r>
        <w:rPr>
          <w:rFonts w:hint="eastAsia" w:ascii="Times New Roman" w:hAnsi="Times New Roman"/>
          <w:color w:val="auto"/>
          <w:sz w:val="24"/>
          <w:szCs w:val="24"/>
          <w:highlight w:val="none"/>
        </w:rPr>
        <w:t>投标供应商所投设备的所有部件均为合格产品。</w:t>
      </w:r>
    </w:p>
    <w:p w14:paraId="0F1FDE21">
      <w:pPr>
        <w:spacing w:line="464"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13.1.2</w:t>
      </w:r>
      <w:r>
        <w:rPr>
          <w:rFonts w:hint="eastAsia" w:ascii="Times New Roman" w:hAnsi="Times New Roman"/>
          <w:color w:val="auto"/>
          <w:sz w:val="24"/>
          <w:szCs w:val="24"/>
          <w:highlight w:val="none"/>
        </w:rPr>
        <w:t>投标供应商认为应对其设备的性能特点、优越性等有必要进行补充说明的内容。</w:t>
      </w:r>
    </w:p>
    <w:p w14:paraId="3D72E800">
      <w:pPr>
        <w:spacing w:line="464"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13.1.3</w:t>
      </w:r>
      <w:r>
        <w:rPr>
          <w:rFonts w:hint="eastAsia" w:ascii="Times New Roman" w:hAnsi="Times New Roman"/>
          <w:color w:val="auto"/>
          <w:sz w:val="24"/>
          <w:szCs w:val="24"/>
          <w:highlight w:val="none"/>
        </w:rPr>
        <w:t>投标供应商必须对招标文件中设备的技术要求逐项、逐条明确答复；应逐项填写“技术参数偏差表”，投标设备与招标文件中的规定要求有偏离的，应详细说明偏离情况。</w:t>
      </w:r>
    </w:p>
    <w:p w14:paraId="134D227A">
      <w:pPr>
        <w:keepNext/>
        <w:keepLines/>
        <w:spacing w:line="360" w:lineRule="auto"/>
        <w:jc w:val="left"/>
        <w:outlineLvl w:val="2"/>
        <w:rPr>
          <w:rFonts w:ascii="Times New Roman" w:hAnsi="Times New Roman"/>
          <w:b/>
          <w:bCs/>
          <w:color w:val="auto"/>
          <w:sz w:val="24"/>
          <w:szCs w:val="24"/>
          <w:highlight w:val="none"/>
        </w:rPr>
      </w:pPr>
      <w:bookmarkStart w:id="145" w:name="_Toc508113524"/>
      <w:bookmarkStart w:id="146" w:name="_Toc479341570"/>
      <w:bookmarkStart w:id="147" w:name="_Toc170287631"/>
      <w:bookmarkStart w:id="148" w:name="_Toc176358334"/>
      <w:bookmarkStart w:id="149" w:name="_Toc113892426"/>
      <w:bookmarkStart w:id="150" w:name="_Toc151210126"/>
      <w:bookmarkStart w:id="151" w:name="_Toc517338599"/>
      <w:bookmarkStart w:id="152" w:name="_Toc522288463"/>
      <w:bookmarkStart w:id="153" w:name="_Toc170287283"/>
      <w:bookmarkStart w:id="154" w:name="_Toc113891914"/>
      <w:bookmarkStart w:id="155" w:name="_Toc509822579"/>
      <w:r>
        <w:rPr>
          <w:rFonts w:ascii="Times New Roman" w:hAnsi="Times New Roman"/>
          <w:b/>
          <w:bCs/>
          <w:color w:val="auto"/>
          <w:sz w:val="24"/>
          <w:szCs w:val="24"/>
          <w:highlight w:val="none"/>
        </w:rPr>
        <w:t>14</w:t>
      </w:r>
      <w:r>
        <w:rPr>
          <w:rFonts w:hint="eastAsia" w:ascii="Times New Roman" w:hAnsi="Times New Roman"/>
          <w:b/>
          <w:bCs/>
          <w:color w:val="auto"/>
          <w:sz w:val="24"/>
          <w:szCs w:val="24"/>
          <w:highlight w:val="none"/>
        </w:rPr>
        <w:t>、投标有效期</w:t>
      </w:r>
      <w:bookmarkEnd w:id="132"/>
      <w:bookmarkEnd w:id="145"/>
      <w:bookmarkEnd w:id="146"/>
      <w:bookmarkEnd w:id="147"/>
      <w:bookmarkEnd w:id="148"/>
      <w:bookmarkEnd w:id="149"/>
      <w:bookmarkEnd w:id="150"/>
      <w:bookmarkEnd w:id="151"/>
      <w:bookmarkEnd w:id="152"/>
      <w:bookmarkEnd w:id="153"/>
      <w:bookmarkEnd w:id="154"/>
      <w:bookmarkEnd w:id="155"/>
    </w:p>
    <w:p w14:paraId="63BA0901">
      <w:pPr>
        <w:tabs>
          <w:tab w:val="left" w:pos="1080"/>
        </w:tabs>
        <w:spacing w:line="360" w:lineRule="auto"/>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 xml:space="preserve">14.1 </w:t>
      </w:r>
      <w:r>
        <w:rPr>
          <w:rFonts w:hint="eastAsia" w:ascii="Times New Roman" w:hAnsi="Times New Roman"/>
          <w:color w:val="auto"/>
          <w:sz w:val="24"/>
          <w:szCs w:val="24"/>
          <w:highlight w:val="none"/>
        </w:rPr>
        <w:t>在供应商须知前附表规定的投标有效期内，投标供应商不得要求撤销或修改其投标文件。</w:t>
      </w:r>
    </w:p>
    <w:p w14:paraId="46B78FFE">
      <w:pPr>
        <w:spacing w:line="360" w:lineRule="auto"/>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14.2</w:t>
      </w:r>
      <w:r>
        <w:rPr>
          <w:rFonts w:hint="eastAsia" w:ascii="Times New Roman" w:hAnsi="Times New Roman"/>
          <w:color w:val="auto"/>
          <w:sz w:val="24"/>
          <w:szCs w:val="24"/>
          <w:highlight w:val="none"/>
        </w:rPr>
        <w:t>出现特殊情况需要延长投标有效期的，采购人以书面形式通知所有投标供应商延长投标有效期。投标供应商同意延长的，应相应延长其投标保证金的有效期，但不得要求或被允许修改或撤销其投标文件；投标供应商拒绝延长的，其投标失效。</w:t>
      </w:r>
      <w:r>
        <w:rPr>
          <w:rFonts w:ascii="Times New Roman" w:hAnsi="Times New Roman"/>
          <w:color w:val="auto"/>
          <w:sz w:val="24"/>
          <w:szCs w:val="24"/>
          <w:highlight w:val="none"/>
        </w:rPr>
        <w:t xml:space="preserve"> </w:t>
      </w:r>
    </w:p>
    <w:p w14:paraId="091D1B02">
      <w:pPr>
        <w:keepNext/>
        <w:keepLines/>
        <w:spacing w:line="360" w:lineRule="auto"/>
        <w:jc w:val="left"/>
        <w:outlineLvl w:val="2"/>
        <w:rPr>
          <w:rFonts w:ascii="Times New Roman" w:hAnsi="Times New Roman"/>
          <w:b/>
          <w:bCs/>
          <w:color w:val="auto"/>
          <w:sz w:val="24"/>
          <w:szCs w:val="24"/>
          <w:highlight w:val="none"/>
        </w:rPr>
      </w:pPr>
      <w:bookmarkStart w:id="156" w:name="_Toc176358335"/>
      <w:bookmarkStart w:id="157" w:name="_Toc522288464"/>
      <w:bookmarkStart w:id="158" w:name="_Toc517338600"/>
      <w:bookmarkStart w:id="159" w:name="_Toc170287632"/>
      <w:bookmarkStart w:id="160" w:name="_Toc508113525"/>
      <w:bookmarkStart w:id="161" w:name="_Toc113892427"/>
      <w:bookmarkStart w:id="162" w:name="_Toc151210127"/>
      <w:bookmarkStart w:id="163" w:name="_Toc113891915"/>
      <w:bookmarkStart w:id="164" w:name="_Toc170287284"/>
      <w:bookmarkStart w:id="165" w:name="_Toc509822580"/>
      <w:bookmarkStart w:id="166" w:name="_Toc20965"/>
      <w:bookmarkStart w:id="167" w:name="_Toc479341571"/>
      <w:r>
        <w:rPr>
          <w:rFonts w:ascii="Times New Roman" w:hAnsi="Times New Roman"/>
          <w:b/>
          <w:bCs/>
          <w:color w:val="auto"/>
          <w:sz w:val="24"/>
          <w:szCs w:val="24"/>
          <w:highlight w:val="none"/>
        </w:rPr>
        <w:t>15</w:t>
      </w:r>
      <w:r>
        <w:rPr>
          <w:rFonts w:hint="eastAsia" w:ascii="Times New Roman" w:hAnsi="Times New Roman"/>
          <w:b/>
          <w:bCs/>
          <w:color w:val="auto"/>
          <w:sz w:val="24"/>
          <w:szCs w:val="24"/>
          <w:highlight w:val="none"/>
        </w:rPr>
        <w:t>、投标保证金</w:t>
      </w:r>
      <w:bookmarkEnd w:id="156"/>
      <w:bookmarkEnd w:id="157"/>
      <w:bookmarkEnd w:id="158"/>
      <w:bookmarkEnd w:id="159"/>
      <w:bookmarkEnd w:id="160"/>
      <w:bookmarkEnd w:id="161"/>
      <w:bookmarkEnd w:id="162"/>
      <w:bookmarkEnd w:id="163"/>
      <w:bookmarkEnd w:id="164"/>
      <w:bookmarkEnd w:id="165"/>
      <w:bookmarkEnd w:id="166"/>
      <w:bookmarkEnd w:id="167"/>
    </w:p>
    <w:p w14:paraId="0C48DEC5">
      <w:pPr>
        <w:spacing w:line="360" w:lineRule="auto"/>
        <w:ind w:firstLine="480" w:firstLineChars="200"/>
        <w:jc w:val="left"/>
        <w:rPr>
          <w:rFonts w:ascii="Times New Roman" w:hAnsi="Times New Roman"/>
          <w:b/>
          <w:bCs/>
          <w:color w:val="auto"/>
          <w:sz w:val="24"/>
          <w:szCs w:val="24"/>
          <w:highlight w:val="none"/>
        </w:rPr>
      </w:pPr>
      <w:r>
        <w:rPr>
          <w:rFonts w:hint="eastAsia" w:ascii="Times New Roman" w:hAnsi="Times New Roman"/>
          <w:bCs/>
          <w:color w:val="auto"/>
          <w:sz w:val="24"/>
          <w:szCs w:val="24"/>
          <w:highlight w:val="none"/>
        </w:rPr>
        <w:t>按照《河南省财政厅关于优化政府采购营商环境有关问题的通知》（豫财购</w:t>
      </w:r>
      <w:r>
        <w:rPr>
          <w:rFonts w:ascii="Times New Roman" w:hAnsi="Times New Roman"/>
          <w:bCs/>
          <w:color w:val="auto"/>
          <w:sz w:val="24"/>
          <w:szCs w:val="24"/>
          <w:highlight w:val="none"/>
        </w:rPr>
        <w:t>[2019]4</w:t>
      </w:r>
      <w:r>
        <w:rPr>
          <w:rFonts w:hint="eastAsia" w:ascii="Times New Roman" w:hAnsi="Times New Roman"/>
          <w:bCs/>
          <w:color w:val="auto"/>
          <w:sz w:val="24"/>
          <w:szCs w:val="24"/>
          <w:highlight w:val="none"/>
        </w:rPr>
        <w:t>号文）的要求，本项目不再收取投标保证金</w:t>
      </w:r>
      <w:r>
        <w:rPr>
          <w:rFonts w:hint="eastAsia" w:ascii="Times New Roman" w:hAnsi="Times New Roman"/>
          <w:b/>
          <w:bCs/>
          <w:color w:val="auto"/>
          <w:sz w:val="24"/>
          <w:szCs w:val="24"/>
          <w:highlight w:val="none"/>
        </w:rPr>
        <w:t>。</w:t>
      </w:r>
    </w:p>
    <w:p w14:paraId="3E646C3D">
      <w:pPr>
        <w:keepNext/>
        <w:keepLines/>
        <w:spacing w:line="360" w:lineRule="auto"/>
        <w:jc w:val="left"/>
        <w:outlineLvl w:val="2"/>
        <w:rPr>
          <w:rFonts w:ascii="Times New Roman" w:hAnsi="Times New Roman"/>
          <w:b/>
          <w:bCs/>
          <w:color w:val="auto"/>
          <w:sz w:val="24"/>
          <w:szCs w:val="24"/>
          <w:highlight w:val="none"/>
        </w:rPr>
      </w:pPr>
      <w:bookmarkStart w:id="168" w:name="_Toc151210128"/>
      <w:bookmarkStart w:id="169" w:name="_Toc522288467"/>
      <w:bookmarkStart w:id="170" w:name="_Toc27856"/>
      <w:bookmarkStart w:id="171" w:name="_Toc509822583"/>
      <w:bookmarkStart w:id="172" w:name="_Toc479341574"/>
      <w:bookmarkStart w:id="173" w:name="_Toc170287633"/>
      <w:bookmarkStart w:id="174" w:name="_Toc113892428"/>
      <w:bookmarkStart w:id="175" w:name="_Toc508113529"/>
      <w:bookmarkStart w:id="176" w:name="_Toc113891916"/>
      <w:bookmarkStart w:id="177" w:name="_Toc517338603"/>
      <w:bookmarkStart w:id="178" w:name="_Toc170287285"/>
      <w:bookmarkStart w:id="179" w:name="_Toc176358336"/>
      <w:bookmarkStart w:id="180" w:name="_Toc20924"/>
      <w:r>
        <w:rPr>
          <w:rFonts w:ascii="Times New Roman" w:hAnsi="Times New Roman"/>
          <w:b/>
          <w:bCs/>
          <w:color w:val="auto"/>
          <w:sz w:val="24"/>
          <w:szCs w:val="24"/>
          <w:highlight w:val="none"/>
        </w:rPr>
        <w:t>16</w:t>
      </w:r>
      <w:r>
        <w:rPr>
          <w:rFonts w:hint="eastAsia" w:ascii="Times New Roman" w:hAnsi="Times New Roman"/>
          <w:b/>
          <w:bCs/>
          <w:color w:val="auto"/>
          <w:sz w:val="24"/>
          <w:szCs w:val="24"/>
          <w:highlight w:val="none"/>
        </w:rPr>
        <w:t>、投标文件的编制</w:t>
      </w:r>
      <w:bookmarkEnd w:id="168"/>
      <w:bookmarkEnd w:id="169"/>
      <w:bookmarkEnd w:id="170"/>
      <w:bookmarkEnd w:id="171"/>
      <w:bookmarkEnd w:id="172"/>
      <w:bookmarkEnd w:id="173"/>
      <w:bookmarkEnd w:id="174"/>
      <w:bookmarkEnd w:id="175"/>
      <w:bookmarkEnd w:id="176"/>
      <w:bookmarkEnd w:id="177"/>
      <w:bookmarkEnd w:id="178"/>
      <w:bookmarkEnd w:id="179"/>
    </w:p>
    <w:p w14:paraId="0BB3095F">
      <w:pPr>
        <w:spacing w:line="360" w:lineRule="auto"/>
        <w:ind w:firstLine="480" w:firstLineChars="200"/>
        <w:rPr>
          <w:rFonts w:ascii="Times New Roman" w:hAnsi="Times New Roman"/>
          <w:color w:val="auto"/>
          <w:sz w:val="24"/>
          <w:szCs w:val="24"/>
          <w:highlight w:val="none"/>
        </w:rPr>
      </w:pPr>
      <w:bookmarkStart w:id="181" w:name="_Toc23823"/>
      <w:bookmarkStart w:id="182" w:name="_Toc32212"/>
      <w:r>
        <w:rPr>
          <w:rFonts w:ascii="Times New Roman" w:hAnsi="Times New Roman"/>
          <w:color w:val="auto"/>
          <w:sz w:val="24"/>
          <w:szCs w:val="24"/>
          <w:highlight w:val="none"/>
        </w:rPr>
        <w:t>16.1</w:t>
      </w:r>
      <w:r>
        <w:rPr>
          <w:rFonts w:hint="eastAsia" w:ascii="Times New Roman" w:hAnsi="Times New Roman"/>
          <w:color w:val="auto"/>
          <w:sz w:val="24"/>
          <w:szCs w:val="24"/>
          <w:highlight w:val="none"/>
        </w:rPr>
        <w:t>投标文件应按第六章“投标文件格式”进行编写，如有必要，可以增加附页，作为投标文件的组成部分。在满足招标文件实质性要求的基础上，可以提出比招标文件要求更有利于采购人的承诺。</w:t>
      </w:r>
    </w:p>
    <w:p w14:paraId="46EDEA80">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 xml:space="preserve">16.2 </w:t>
      </w:r>
      <w:r>
        <w:rPr>
          <w:rFonts w:hint="eastAsia" w:ascii="Times New Roman" w:hAnsi="Times New Roman"/>
          <w:color w:val="auto"/>
          <w:sz w:val="24"/>
          <w:szCs w:val="24"/>
          <w:highlight w:val="none"/>
        </w:rPr>
        <w:t>投标文件应当对招标文件有关合同履行期限（交货期）、投标有效期、质量要求、</w:t>
      </w:r>
      <w:r>
        <w:rPr>
          <w:rFonts w:hint="eastAsia" w:ascii="Times New Roman" w:hAnsi="Times New Roman"/>
          <w:color w:val="auto"/>
          <w:sz w:val="24"/>
          <w:szCs w:val="24"/>
          <w:highlight w:val="none"/>
          <w:lang w:eastAsia="zh-CN"/>
        </w:rPr>
        <w:t>质保期</w:t>
      </w:r>
      <w:r>
        <w:rPr>
          <w:rFonts w:hint="eastAsia" w:ascii="Times New Roman" w:hAnsi="Times New Roman"/>
          <w:color w:val="auto"/>
          <w:sz w:val="24"/>
          <w:szCs w:val="24"/>
          <w:highlight w:val="none"/>
        </w:rPr>
        <w:t>、技术参数要求、采购范围等实质性内容作出响应。</w:t>
      </w:r>
    </w:p>
    <w:p w14:paraId="44B37BB0">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16.3</w:t>
      </w:r>
      <w:r>
        <w:rPr>
          <w:rFonts w:hint="eastAsia" w:ascii="Times New Roman" w:hAnsi="Times New Roman"/>
          <w:color w:val="auto"/>
          <w:sz w:val="24"/>
          <w:szCs w:val="24"/>
          <w:highlight w:val="none"/>
        </w:rPr>
        <w:t>本项目为电子化、无纸化交易项目，投标文件是供应商通过中心投标文件制作系统制作，并经过电子签章和加密后生成的电子版投标文件。供应商投标时，将不再接受任何纸质文件资料。</w:t>
      </w:r>
    </w:p>
    <w:p w14:paraId="45F80EEB">
      <w:pPr>
        <w:spacing w:line="360" w:lineRule="auto"/>
        <w:ind w:firstLine="480" w:firstLineChars="20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电子投标文件是供应商通过中心投标文件制作系统制作，并经过签章和加密后生成的电子版投标文件。</w:t>
      </w:r>
    </w:p>
    <w:p w14:paraId="2D49A5C8">
      <w:pPr>
        <w:spacing w:line="360" w:lineRule="auto"/>
        <w:ind w:firstLine="480" w:firstLineChars="20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电子化投标文件工具下载链接：</w:t>
      </w:r>
      <w:r>
        <w:rPr>
          <w:rFonts w:ascii="Times New Roman" w:hAnsi="Times New Roman"/>
          <w:color w:val="auto"/>
          <w:sz w:val="24"/>
          <w:szCs w:val="24"/>
          <w:highlight w:val="none"/>
        </w:rPr>
        <w:t xml:space="preserve">  https://download.bqpoint.com/download/downloaddetail.html?SourceFrom=Ztb&amp;ZtbSoftXiaQuCode=1506&amp;ZtbSoftType=tballinclusive</w:t>
      </w:r>
    </w:p>
    <w:p w14:paraId="3EE33706">
      <w:pPr>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电子投标文件操作手册链接：</w:t>
      </w:r>
    </w:p>
    <w:p w14:paraId="1502F9E9">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http</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//gzjy.smx.gov.cn/bzzx/008001/20200330/0bee15ca-16e7-4f3c-b1bb-de3e3a51032a.html</w:t>
      </w:r>
    </w:p>
    <w:p w14:paraId="77DA04E6">
      <w:pPr>
        <w:keepNext/>
        <w:keepLines/>
        <w:spacing w:line="360" w:lineRule="auto"/>
        <w:jc w:val="center"/>
        <w:outlineLvl w:val="1"/>
        <w:rPr>
          <w:rFonts w:ascii="Times New Roman" w:hAnsi="Times New Roman"/>
          <w:b/>
          <w:bCs/>
          <w:color w:val="auto"/>
          <w:sz w:val="24"/>
          <w:szCs w:val="24"/>
          <w:highlight w:val="none"/>
        </w:rPr>
      </w:pPr>
      <w:bookmarkStart w:id="183" w:name="_Toc517338604"/>
      <w:bookmarkStart w:id="184" w:name="_Toc508873149"/>
      <w:bookmarkStart w:id="185" w:name="_Toc479341575"/>
      <w:bookmarkStart w:id="186" w:name="_Toc508113530"/>
      <w:bookmarkStart w:id="187" w:name="_Toc176358337"/>
      <w:bookmarkStart w:id="188" w:name="_Toc525836313"/>
      <w:r>
        <w:rPr>
          <w:rFonts w:hint="eastAsia" w:ascii="Times New Roman" w:hAnsi="Times New Roman"/>
          <w:b/>
          <w:bCs/>
          <w:color w:val="auto"/>
          <w:sz w:val="24"/>
          <w:szCs w:val="24"/>
          <w:highlight w:val="none"/>
        </w:rPr>
        <w:t>四、投标</w:t>
      </w:r>
      <w:bookmarkEnd w:id="181"/>
      <w:bookmarkEnd w:id="182"/>
      <w:bookmarkEnd w:id="183"/>
      <w:bookmarkEnd w:id="184"/>
      <w:bookmarkEnd w:id="185"/>
      <w:bookmarkEnd w:id="186"/>
      <w:r>
        <w:rPr>
          <w:rFonts w:hint="eastAsia" w:ascii="Times New Roman" w:hAnsi="Times New Roman"/>
          <w:b/>
          <w:bCs/>
          <w:color w:val="auto"/>
          <w:sz w:val="24"/>
          <w:szCs w:val="24"/>
          <w:highlight w:val="none"/>
        </w:rPr>
        <w:t>文件的递交</w:t>
      </w:r>
      <w:bookmarkEnd w:id="187"/>
      <w:bookmarkEnd w:id="188"/>
    </w:p>
    <w:p w14:paraId="72215901">
      <w:pPr>
        <w:keepNext/>
        <w:keepLines/>
        <w:spacing w:line="360" w:lineRule="auto"/>
        <w:jc w:val="left"/>
        <w:outlineLvl w:val="2"/>
        <w:rPr>
          <w:rFonts w:ascii="Times New Roman" w:hAnsi="Times New Roman"/>
          <w:b/>
          <w:bCs/>
          <w:color w:val="auto"/>
          <w:sz w:val="24"/>
          <w:szCs w:val="24"/>
          <w:highlight w:val="none"/>
        </w:rPr>
      </w:pPr>
      <w:bookmarkStart w:id="189" w:name="_Toc508113531"/>
      <w:bookmarkStart w:id="190" w:name="_Toc517338605"/>
      <w:bookmarkStart w:id="191" w:name="_Toc522288469"/>
      <w:bookmarkStart w:id="192" w:name="_Toc509822585"/>
      <w:bookmarkStart w:id="193" w:name="_Toc479341576"/>
      <w:bookmarkStart w:id="194" w:name="_Toc151210130"/>
      <w:bookmarkStart w:id="195" w:name="_Toc170287287"/>
      <w:bookmarkStart w:id="196" w:name="_Toc170287635"/>
      <w:bookmarkStart w:id="197" w:name="_Toc176358338"/>
      <w:bookmarkStart w:id="198" w:name="_Toc113891918"/>
      <w:bookmarkStart w:id="199" w:name="_Toc113892430"/>
      <w:r>
        <w:rPr>
          <w:rFonts w:ascii="Times New Roman" w:hAnsi="Times New Roman"/>
          <w:b/>
          <w:bCs/>
          <w:color w:val="auto"/>
          <w:sz w:val="24"/>
          <w:szCs w:val="24"/>
          <w:highlight w:val="none"/>
        </w:rPr>
        <w:t>17</w:t>
      </w:r>
      <w:r>
        <w:rPr>
          <w:rFonts w:hint="eastAsia" w:ascii="Times New Roman" w:hAnsi="Times New Roman"/>
          <w:b/>
          <w:bCs/>
          <w:color w:val="auto"/>
          <w:sz w:val="24"/>
          <w:szCs w:val="24"/>
          <w:highlight w:val="none"/>
        </w:rPr>
        <w:t>、</w:t>
      </w:r>
      <w:bookmarkEnd w:id="180"/>
      <w:bookmarkEnd w:id="189"/>
      <w:bookmarkEnd w:id="190"/>
      <w:bookmarkEnd w:id="191"/>
      <w:bookmarkEnd w:id="192"/>
      <w:bookmarkEnd w:id="193"/>
      <w:r>
        <w:rPr>
          <w:rFonts w:hint="eastAsia" w:ascii="Times New Roman" w:hAnsi="Times New Roman"/>
          <w:b/>
          <w:bCs/>
          <w:color w:val="auto"/>
          <w:sz w:val="24"/>
          <w:szCs w:val="24"/>
          <w:highlight w:val="none"/>
        </w:rPr>
        <w:t>电子投标文件</w:t>
      </w:r>
      <w:bookmarkEnd w:id="194"/>
      <w:bookmarkEnd w:id="195"/>
      <w:bookmarkEnd w:id="196"/>
      <w:bookmarkEnd w:id="197"/>
      <w:bookmarkEnd w:id="198"/>
      <w:bookmarkEnd w:id="199"/>
    </w:p>
    <w:p w14:paraId="0DFBB8AF">
      <w:pPr>
        <w:spacing w:line="360" w:lineRule="auto"/>
        <w:ind w:firstLine="480" w:firstLineChars="200"/>
        <w:rPr>
          <w:rFonts w:ascii="Times New Roman" w:hAnsi="Times New Roman"/>
          <w:color w:val="auto"/>
          <w:szCs w:val="24"/>
          <w:highlight w:val="none"/>
        </w:rPr>
      </w:pPr>
      <w:r>
        <w:rPr>
          <w:rFonts w:hint="eastAsia" w:ascii="Times New Roman" w:hAnsi="Times New Roman"/>
          <w:color w:val="auto"/>
          <w:sz w:val="24"/>
          <w:szCs w:val="24"/>
          <w:highlight w:val="none"/>
        </w:rPr>
        <w:t>供应商应当按照招标文件和电子招标投标交易平台的要求加密投标文件，具体要求详见供应商须知前附表“电子化招标投标交易注意事项”。</w:t>
      </w:r>
    </w:p>
    <w:p w14:paraId="5A4366CC">
      <w:pPr>
        <w:keepNext/>
        <w:keepLines/>
        <w:spacing w:line="360" w:lineRule="auto"/>
        <w:jc w:val="left"/>
        <w:outlineLvl w:val="2"/>
        <w:rPr>
          <w:rFonts w:ascii="Times New Roman" w:hAnsi="Times New Roman"/>
          <w:b/>
          <w:bCs/>
          <w:color w:val="auto"/>
          <w:sz w:val="24"/>
          <w:szCs w:val="24"/>
          <w:highlight w:val="none"/>
        </w:rPr>
      </w:pPr>
      <w:bookmarkStart w:id="200" w:name="_Toc479341577"/>
      <w:bookmarkStart w:id="201" w:name="_Toc170287288"/>
      <w:bookmarkStart w:id="202" w:name="_Toc14239"/>
      <w:bookmarkStart w:id="203" w:name="_Toc113891919"/>
      <w:bookmarkStart w:id="204" w:name="_Toc176358339"/>
      <w:bookmarkStart w:id="205" w:name="_Toc509822586"/>
      <w:bookmarkStart w:id="206" w:name="_Toc508113532"/>
      <w:bookmarkStart w:id="207" w:name="_Toc113892431"/>
      <w:bookmarkStart w:id="208" w:name="_Toc522288470"/>
      <w:bookmarkStart w:id="209" w:name="_Toc151210131"/>
      <w:bookmarkStart w:id="210" w:name="_Toc517338606"/>
      <w:bookmarkStart w:id="211" w:name="_Toc170287636"/>
      <w:r>
        <w:rPr>
          <w:rFonts w:ascii="Times New Roman" w:hAnsi="Times New Roman"/>
          <w:b/>
          <w:bCs/>
          <w:color w:val="auto"/>
          <w:sz w:val="24"/>
          <w:szCs w:val="24"/>
          <w:highlight w:val="none"/>
        </w:rPr>
        <w:t>18</w:t>
      </w:r>
      <w:r>
        <w:rPr>
          <w:rFonts w:hint="eastAsia" w:ascii="Times New Roman" w:hAnsi="Times New Roman"/>
          <w:b/>
          <w:bCs/>
          <w:color w:val="auto"/>
          <w:sz w:val="24"/>
          <w:szCs w:val="24"/>
          <w:highlight w:val="none"/>
        </w:rPr>
        <w:t>、投标文件的递交</w:t>
      </w:r>
      <w:bookmarkEnd w:id="200"/>
      <w:bookmarkEnd w:id="201"/>
      <w:bookmarkEnd w:id="202"/>
      <w:bookmarkEnd w:id="203"/>
      <w:bookmarkEnd w:id="204"/>
      <w:bookmarkEnd w:id="205"/>
      <w:bookmarkEnd w:id="206"/>
      <w:bookmarkEnd w:id="207"/>
      <w:bookmarkEnd w:id="208"/>
      <w:bookmarkEnd w:id="209"/>
      <w:bookmarkEnd w:id="210"/>
      <w:bookmarkEnd w:id="211"/>
    </w:p>
    <w:p w14:paraId="5C9FFB7F">
      <w:pPr>
        <w:spacing w:line="360" w:lineRule="auto"/>
        <w:ind w:firstLine="480" w:firstLineChars="200"/>
        <w:jc w:val="left"/>
        <w:rPr>
          <w:rFonts w:ascii="Times New Roman" w:hAnsi="Times New Roman"/>
          <w:color w:val="auto"/>
          <w:sz w:val="24"/>
          <w:szCs w:val="24"/>
          <w:highlight w:val="none"/>
        </w:rPr>
      </w:pPr>
      <w:bookmarkStart w:id="212" w:name="_Toc13346"/>
      <w:r>
        <w:rPr>
          <w:rFonts w:ascii="Times New Roman" w:hAnsi="Times New Roman"/>
          <w:color w:val="auto"/>
          <w:sz w:val="24"/>
          <w:szCs w:val="24"/>
          <w:highlight w:val="none"/>
        </w:rPr>
        <w:t>18.1</w:t>
      </w:r>
      <w:r>
        <w:rPr>
          <w:rFonts w:hint="eastAsia" w:ascii="Times New Roman" w:hAnsi="Times New Roman"/>
          <w:color w:val="auto"/>
          <w:sz w:val="24"/>
          <w:szCs w:val="24"/>
          <w:highlight w:val="none"/>
        </w:rPr>
        <w:t>供应商应在规定的投标截止时间前上传电子投标文件。</w:t>
      </w:r>
    </w:p>
    <w:p w14:paraId="1BD96B50">
      <w:pPr>
        <w:spacing w:line="360" w:lineRule="auto"/>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 xml:space="preserve">18.2 </w:t>
      </w:r>
      <w:r>
        <w:rPr>
          <w:rFonts w:hint="eastAsia" w:ascii="Times New Roman" w:hAnsi="Times New Roman"/>
          <w:color w:val="auto"/>
          <w:sz w:val="24"/>
          <w:szCs w:val="24"/>
          <w:highlight w:val="none"/>
        </w:rPr>
        <w:t>投标供应商递交电子投标文件的地点：见供应商须知前附表。</w:t>
      </w:r>
    </w:p>
    <w:p w14:paraId="01195CAE">
      <w:pPr>
        <w:spacing w:line="360" w:lineRule="auto"/>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 xml:space="preserve">18.3 </w:t>
      </w:r>
      <w:r>
        <w:rPr>
          <w:rFonts w:hint="eastAsia" w:ascii="Times New Roman" w:hAnsi="Times New Roman"/>
          <w:color w:val="auto"/>
          <w:sz w:val="24"/>
          <w:szCs w:val="24"/>
          <w:highlight w:val="none"/>
        </w:rPr>
        <w:t>供应商所递交的投标文件不予退还。</w:t>
      </w:r>
    </w:p>
    <w:p w14:paraId="62702C8B">
      <w:pPr>
        <w:spacing w:line="360" w:lineRule="auto"/>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 xml:space="preserve">18.4 </w:t>
      </w:r>
      <w:r>
        <w:rPr>
          <w:rFonts w:hint="eastAsia" w:ascii="Times New Roman" w:hAnsi="Times New Roman"/>
          <w:color w:val="auto"/>
          <w:sz w:val="24"/>
          <w:szCs w:val="24"/>
          <w:highlight w:val="none"/>
        </w:rPr>
        <w:t>逾期上传的电子投标文件，采购人不予受理。</w:t>
      </w:r>
    </w:p>
    <w:p w14:paraId="79FFB976">
      <w:pPr>
        <w:keepNext/>
        <w:keepLines/>
        <w:spacing w:line="360" w:lineRule="auto"/>
        <w:jc w:val="left"/>
        <w:outlineLvl w:val="2"/>
        <w:rPr>
          <w:rFonts w:ascii="Times New Roman" w:hAnsi="Times New Roman"/>
          <w:b/>
          <w:bCs/>
          <w:color w:val="auto"/>
          <w:sz w:val="24"/>
          <w:szCs w:val="24"/>
          <w:highlight w:val="none"/>
        </w:rPr>
      </w:pPr>
      <w:bookmarkStart w:id="213" w:name="_Toc113892432"/>
      <w:bookmarkStart w:id="214" w:name="_Toc479341578"/>
      <w:bookmarkStart w:id="215" w:name="_Toc176358340"/>
      <w:bookmarkStart w:id="216" w:name="_Toc517338607"/>
      <w:bookmarkStart w:id="217" w:name="_Toc508113533"/>
      <w:bookmarkStart w:id="218" w:name="_Toc170287289"/>
      <w:bookmarkStart w:id="219" w:name="_Toc522288471"/>
      <w:bookmarkStart w:id="220" w:name="_Toc509822587"/>
      <w:bookmarkStart w:id="221" w:name="_Toc151210132"/>
      <w:bookmarkStart w:id="222" w:name="_Toc113891920"/>
      <w:bookmarkStart w:id="223" w:name="_Toc170287637"/>
      <w:r>
        <w:rPr>
          <w:rFonts w:ascii="Times New Roman" w:hAnsi="Times New Roman"/>
          <w:b/>
          <w:bCs/>
          <w:color w:val="auto"/>
          <w:sz w:val="24"/>
          <w:szCs w:val="24"/>
          <w:highlight w:val="none"/>
        </w:rPr>
        <w:t>19</w:t>
      </w:r>
      <w:r>
        <w:rPr>
          <w:rFonts w:hint="eastAsia" w:ascii="Times New Roman" w:hAnsi="Times New Roman"/>
          <w:b/>
          <w:bCs/>
          <w:color w:val="auto"/>
          <w:sz w:val="24"/>
          <w:szCs w:val="24"/>
          <w:highlight w:val="none"/>
        </w:rPr>
        <w:t>、投标文件的修改与撤回</w:t>
      </w:r>
      <w:bookmarkEnd w:id="212"/>
      <w:bookmarkEnd w:id="213"/>
      <w:bookmarkEnd w:id="214"/>
      <w:bookmarkEnd w:id="215"/>
      <w:bookmarkEnd w:id="216"/>
      <w:bookmarkEnd w:id="217"/>
      <w:bookmarkEnd w:id="218"/>
      <w:bookmarkEnd w:id="219"/>
      <w:bookmarkEnd w:id="220"/>
      <w:bookmarkEnd w:id="221"/>
      <w:bookmarkEnd w:id="222"/>
      <w:bookmarkEnd w:id="223"/>
    </w:p>
    <w:p w14:paraId="62F19EDC">
      <w:pPr>
        <w:spacing w:line="360" w:lineRule="auto"/>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 xml:space="preserve">19.1 </w:t>
      </w:r>
      <w:r>
        <w:rPr>
          <w:rFonts w:hint="eastAsia" w:ascii="Times New Roman" w:hAnsi="Times New Roman"/>
          <w:color w:val="auto"/>
          <w:sz w:val="24"/>
          <w:szCs w:val="24"/>
          <w:highlight w:val="none"/>
        </w:rPr>
        <w:t>在规定的投标截止时间前，供应商可以修改或撤回已上传的投标文件。</w:t>
      </w:r>
      <w:r>
        <w:rPr>
          <w:rFonts w:ascii="Times New Roman" w:hAnsi="Times New Roman"/>
          <w:color w:val="auto"/>
          <w:sz w:val="24"/>
          <w:szCs w:val="24"/>
          <w:highlight w:val="none"/>
        </w:rPr>
        <w:t xml:space="preserve"> </w:t>
      </w:r>
    </w:p>
    <w:p w14:paraId="18E3A666">
      <w:pPr>
        <w:spacing w:line="360" w:lineRule="auto"/>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 xml:space="preserve">19.2 </w:t>
      </w:r>
      <w:r>
        <w:rPr>
          <w:rFonts w:hint="eastAsia" w:ascii="Times New Roman" w:hAnsi="Times New Roman"/>
          <w:color w:val="auto"/>
          <w:sz w:val="24"/>
          <w:szCs w:val="24"/>
          <w:highlight w:val="none"/>
        </w:rPr>
        <w:t>修改的内容为投标文件的组成部分。</w:t>
      </w:r>
    </w:p>
    <w:p w14:paraId="2A4D87D6">
      <w:pPr>
        <w:keepNext/>
        <w:keepLines/>
        <w:spacing w:line="360" w:lineRule="auto"/>
        <w:jc w:val="center"/>
        <w:outlineLvl w:val="1"/>
        <w:rPr>
          <w:rFonts w:ascii="Times New Roman" w:hAnsi="Times New Roman"/>
          <w:b/>
          <w:bCs/>
          <w:color w:val="auto"/>
          <w:sz w:val="24"/>
          <w:szCs w:val="24"/>
          <w:highlight w:val="none"/>
        </w:rPr>
      </w:pPr>
      <w:bookmarkStart w:id="224" w:name="_Toc21634"/>
      <w:bookmarkStart w:id="225" w:name="_Toc479341579"/>
      <w:bookmarkStart w:id="226" w:name="_Toc525836314"/>
      <w:bookmarkStart w:id="227" w:name="_Toc508113534"/>
      <w:bookmarkStart w:id="228" w:name="_Toc517338608"/>
      <w:bookmarkStart w:id="229" w:name="_Toc508873150"/>
      <w:bookmarkStart w:id="230" w:name="_Toc176358341"/>
      <w:r>
        <w:rPr>
          <w:rFonts w:hint="eastAsia" w:ascii="Times New Roman" w:hAnsi="Times New Roman"/>
          <w:b/>
          <w:bCs/>
          <w:color w:val="auto"/>
          <w:sz w:val="24"/>
          <w:szCs w:val="24"/>
          <w:highlight w:val="none"/>
        </w:rPr>
        <w:t>五、</w:t>
      </w:r>
      <w:r>
        <w:rPr>
          <w:rFonts w:ascii="Times New Roman" w:hAnsi="Times New Roman"/>
          <w:b/>
          <w:bCs/>
          <w:color w:val="auto"/>
          <w:sz w:val="24"/>
          <w:szCs w:val="24"/>
          <w:highlight w:val="none"/>
        </w:rPr>
        <w:t xml:space="preserve"> </w:t>
      </w:r>
      <w:r>
        <w:rPr>
          <w:rFonts w:hint="eastAsia" w:ascii="Times New Roman" w:hAnsi="Times New Roman"/>
          <w:b/>
          <w:bCs/>
          <w:color w:val="auto"/>
          <w:sz w:val="24"/>
          <w:szCs w:val="24"/>
          <w:highlight w:val="none"/>
        </w:rPr>
        <w:t>开标</w:t>
      </w:r>
      <w:bookmarkEnd w:id="224"/>
      <w:bookmarkEnd w:id="225"/>
      <w:r>
        <w:rPr>
          <w:rFonts w:hint="eastAsia" w:ascii="Times New Roman" w:hAnsi="Times New Roman"/>
          <w:b/>
          <w:bCs/>
          <w:color w:val="auto"/>
          <w:sz w:val="24"/>
          <w:szCs w:val="24"/>
          <w:highlight w:val="none"/>
        </w:rPr>
        <w:t>（本项目为电子化交易项目）</w:t>
      </w:r>
      <w:bookmarkEnd w:id="226"/>
      <w:bookmarkEnd w:id="227"/>
      <w:bookmarkEnd w:id="228"/>
      <w:bookmarkEnd w:id="229"/>
      <w:bookmarkEnd w:id="230"/>
    </w:p>
    <w:p w14:paraId="00622890">
      <w:pPr>
        <w:spacing w:line="360" w:lineRule="auto"/>
        <w:jc w:val="left"/>
        <w:outlineLvl w:val="2"/>
        <w:rPr>
          <w:rFonts w:ascii="Times New Roman" w:hAnsi="Times New Roman"/>
          <w:color w:val="auto"/>
          <w:sz w:val="24"/>
          <w:szCs w:val="24"/>
          <w:highlight w:val="none"/>
        </w:rPr>
      </w:pPr>
      <w:bookmarkStart w:id="231" w:name="_Toc508113535"/>
      <w:bookmarkStart w:id="232" w:name="_Toc479341580"/>
      <w:bookmarkStart w:id="233" w:name="_Toc517338609"/>
      <w:bookmarkStart w:id="234" w:name="_Toc113892434"/>
      <w:bookmarkStart w:id="235" w:name="_Toc170287291"/>
      <w:bookmarkStart w:id="236" w:name="_Toc151210134"/>
      <w:bookmarkStart w:id="237" w:name="_Toc170287639"/>
      <w:bookmarkStart w:id="238" w:name="_Toc113891922"/>
      <w:bookmarkStart w:id="239" w:name="_Toc176358342"/>
      <w:bookmarkStart w:id="240" w:name="_Toc522288473"/>
      <w:bookmarkStart w:id="241" w:name="_Toc4186"/>
      <w:bookmarkStart w:id="242" w:name="_Toc509822589"/>
      <w:r>
        <w:rPr>
          <w:rFonts w:ascii="Times New Roman" w:hAnsi="Times New Roman"/>
          <w:b/>
          <w:color w:val="auto"/>
          <w:sz w:val="24"/>
          <w:szCs w:val="24"/>
          <w:highlight w:val="none"/>
        </w:rPr>
        <w:t>20</w:t>
      </w:r>
      <w:r>
        <w:rPr>
          <w:rFonts w:hint="eastAsia" w:ascii="Times New Roman" w:hAnsi="Times New Roman"/>
          <w:b/>
          <w:color w:val="auto"/>
          <w:sz w:val="24"/>
          <w:szCs w:val="24"/>
          <w:highlight w:val="none"/>
        </w:rPr>
        <w:t>、</w:t>
      </w:r>
      <w:r>
        <w:rPr>
          <w:rFonts w:hint="eastAsia" w:ascii="Times New Roman" w:hAnsi="Times New Roman"/>
          <w:color w:val="auto"/>
          <w:sz w:val="24"/>
          <w:szCs w:val="24"/>
          <w:highlight w:val="none"/>
        </w:rPr>
        <w:t>开标时间和地点</w:t>
      </w:r>
      <w:bookmarkEnd w:id="231"/>
      <w:bookmarkEnd w:id="232"/>
      <w:bookmarkEnd w:id="233"/>
      <w:bookmarkEnd w:id="234"/>
      <w:bookmarkEnd w:id="235"/>
      <w:bookmarkEnd w:id="236"/>
      <w:bookmarkEnd w:id="237"/>
      <w:bookmarkEnd w:id="238"/>
      <w:bookmarkEnd w:id="239"/>
      <w:bookmarkEnd w:id="240"/>
      <w:bookmarkEnd w:id="241"/>
      <w:bookmarkEnd w:id="242"/>
    </w:p>
    <w:p w14:paraId="5D013424">
      <w:pPr>
        <w:spacing w:line="360" w:lineRule="auto"/>
        <w:ind w:firstLine="480" w:firstLineChars="200"/>
        <w:jc w:val="left"/>
        <w:rPr>
          <w:rFonts w:ascii="Times New Roman" w:hAnsi="Times New Roman"/>
          <w:color w:val="auto"/>
          <w:sz w:val="24"/>
          <w:szCs w:val="24"/>
          <w:highlight w:val="none"/>
        </w:rPr>
      </w:pPr>
      <w:bookmarkStart w:id="243" w:name="_Toc10713"/>
      <w:r>
        <w:rPr>
          <w:rFonts w:hint="eastAsia" w:ascii="Times New Roman" w:hAnsi="Times New Roman"/>
          <w:color w:val="auto"/>
          <w:sz w:val="24"/>
          <w:szCs w:val="24"/>
          <w:highlight w:val="none"/>
        </w:rPr>
        <w:t>采购人在规定的投标截止时间（开标时间）和地点，通过电子招标投标交易平台公开开标。</w:t>
      </w:r>
    </w:p>
    <w:p w14:paraId="44EC3A90">
      <w:pPr>
        <w:spacing w:line="360" w:lineRule="auto"/>
        <w:jc w:val="left"/>
        <w:outlineLvl w:val="2"/>
        <w:rPr>
          <w:rFonts w:ascii="Times New Roman" w:hAnsi="Times New Roman"/>
          <w:color w:val="auto"/>
          <w:sz w:val="24"/>
          <w:szCs w:val="24"/>
          <w:highlight w:val="none"/>
        </w:rPr>
      </w:pPr>
      <w:bookmarkStart w:id="244" w:name="_Toc170287640"/>
      <w:bookmarkStart w:id="245" w:name="_Toc170287292"/>
      <w:bookmarkStart w:id="246" w:name="_Toc151210135"/>
      <w:bookmarkStart w:id="247" w:name="_Toc113892435"/>
      <w:bookmarkStart w:id="248" w:name="_Toc522288474"/>
      <w:bookmarkStart w:id="249" w:name="_Toc517338610"/>
      <w:bookmarkStart w:id="250" w:name="_Toc508113536"/>
      <w:bookmarkStart w:id="251" w:name="_Toc479341581"/>
      <w:bookmarkStart w:id="252" w:name="_Toc509822590"/>
      <w:bookmarkStart w:id="253" w:name="_Toc176358343"/>
      <w:bookmarkStart w:id="254" w:name="_Toc113891923"/>
      <w:r>
        <w:rPr>
          <w:rFonts w:ascii="Times New Roman" w:hAnsi="Times New Roman"/>
          <w:b/>
          <w:color w:val="auto"/>
          <w:sz w:val="24"/>
          <w:szCs w:val="24"/>
          <w:highlight w:val="none"/>
        </w:rPr>
        <w:t>21</w:t>
      </w:r>
      <w:r>
        <w:rPr>
          <w:rFonts w:hint="eastAsia" w:ascii="Times New Roman" w:hAnsi="Times New Roman"/>
          <w:b/>
          <w:color w:val="auto"/>
          <w:sz w:val="24"/>
          <w:szCs w:val="24"/>
          <w:highlight w:val="none"/>
        </w:rPr>
        <w:t>、</w:t>
      </w:r>
      <w:r>
        <w:rPr>
          <w:rFonts w:hint="eastAsia" w:ascii="Times New Roman" w:hAnsi="Times New Roman"/>
          <w:color w:val="auto"/>
          <w:sz w:val="24"/>
          <w:szCs w:val="24"/>
          <w:highlight w:val="none"/>
        </w:rPr>
        <w:t>开标程序</w:t>
      </w:r>
      <w:bookmarkEnd w:id="243"/>
      <w:bookmarkEnd w:id="244"/>
      <w:bookmarkEnd w:id="245"/>
      <w:bookmarkEnd w:id="246"/>
      <w:bookmarkEnd w:id="247"/>
      <w:bookmarkEnd w:id="248"/>
      <w:bookmarkEnd w:id="249"/>
      <w:bookmarkEnd w:id="250"/>
      <w:bookmarkEnd w:id="251"/>
      <w:bookmarkEnd w:id="252"/>
      <w:bookmarkEnd w:id="253"/>
      <w:bookmarkEnd w:id="254"/>
    </w:p>
    <w:p w14:paraId="49896A02">
      <w:pPr>
        <w:spacing w:line="360" w:lineRule="auto"/>
        <w:ind w:firstLine="480" w:firstLineChars="200"/>
        <w:jc w:val="left"/>
        <w:rPr>
          <w:rFonts w:ascii="Times New Roman" w:hAnsi="Times New Roman"/>
          <w:color w:val="auto"/>
          <w:sz w:val="24"/>
          <w:szCs w:val="24"/>
          <w:highlight w:val="none"/>
        </w:rPr>
      </w:pPr>
      <w:bookmarkStart w:id="255" w:name="_Toc19062"/>
      <w:r>
        <w:rPr>
          <w:rFonts w:hint="eastAsia" w:ascii="Times New Roman" w:hAnsi="Times New Roman"/>
          <w:color w:val="auto"/>
          <w:sz w:val="24"/>
          <w:szCs w:val="24"/>
          <w:highlight w:val="none"/>
        </w:rPr>
        <w:t>主持人按下列程序进行开标：</w:t>
      </w:r>
    </w:p>
    <w:p w14:paraId="0652893E">
      <w:pPr>
        <w:spacing w:line="360" w:lineRule="auto"/>
        <w:ind w:firstLine="410" w:firstLineChars="171"/>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1</w:t>
      </w:r>
      <w:r>
        <w:rPr>
          <w:rFonts w:hint="eastAsia" w:ascii="Times New Roman" w:hAnsi="Times New Roman"/>
          <w:color w:val="auto"/>
          <w:sz w:val="24"/>
          <w:szCs w:val="24"/>
          <w:highlight w:val="none"/>
        </w:rPr>
        <w:t>）宣布开标纪律；</w:t>
      </w:r>
    </w:p>
    <w:p w14:paraId="4155F644">
      <w:pPr>
        <w:spacing w:line="360" w:lineRule="auto"/>
        <w:ind w:firstLine="410" w:firstLineChars="171"/>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2</w:t>
      </w:r>
      <w:r>
        <w:rPr>
          <w:rFonts w:hint="eastAsia" w:ascii="Times New Roman" w:hAnsi="Times New Roman"/>
          <w:color w:val="auto"/>
          <w:sz w:val="24"/>
          <w:szCs w:val="24"/>
          <w:highlight w:val="none"/>
        </w:rPr>
        <w:t>）宣布主持人、采购人、唱标人、记录人、监督人等有关人员姓名；</w:t>
      </w:r>
    </w:p>
    <w:p w14:paraId="7E733470">
      <w:pPr>
        <w:spacing w:line="360" w:lineRule="auto"/>
        <w:ind w:firstLine="410" w:firstLineChars="171"/>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3</w:t>
      </w:r>
      <w:r>
        <w:rPr>
          <w:rFonts w:hint="eastAsia" w:ascii="Times New Roman" w:hAnsi="Times New Roman"/>
          <w:color w:val="auto"/>
          <w:sz w:val="24"/>
          <w:szCs w:val="24"/>
          <w:highlight w:val="none"/>
        </w:rPr>
        <w:t>）按照供应商须知前附表的规定确定并宣布投标文件开标顺序；</w:t>
      </w:r>
    </w:p>
    <w:p w14:paraId="66472C85">
      <w:pPr>
        <w:spacing w:line="360" w:lineRule="auto"/>
        <w:ind w:firstLine="410" w:firstLineChars="171"/>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4</w:t>
      </w:r>
      <w:r>
        <w:rPr>
          <w:rFonts w:hint="eastAsia" w:ascii="Times New Roman" w:hAnsi="Times New Roman"/>
          <w:color w:val="auto"/>
          <w:sz w:val="24"/>
          <w:szCs w:val="24"/>
          <w:highlight w:val="none"/>
        </w:rPr>
        <w:t>）按照宣布的开标顺序当众开标，电子招标投标交易平台自动提取所有电子化投标文件，按时在线解密。解密全部完成后，向所有投标供应商公布投标供应商名称、投标价格和招标文件规定的其他内容。</w:t>
      </w:r>
    </w:p>
    <w:p w14:paraId="75DDB4B3">
      <w:pPr>
        <w:spacing w:line="360" w:lineRule="auto"/>
        <w:ind w:firstLine="410" w:firstLineChars="171"/>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5</w:t>
      </w:r>
      <w:r>
        <w:rPr>
          <w:rFonts w:hint="eastAsia" w:ascii="Times New Roman" w:hAnsi="Times New Roman"/>
          <w:color w:val="auto"/>
          <w:sz w:val="24"/>
          <w:szCs w:val="24"/>
          <w:highlight w:val="none"/>
        </w:rPr>
        <w:t>）开标会议结束，由</w:t>
      </w:r>
      <w:r>
        <w:rPr>
          <w:rFonts w:hint="eastAsia" w:ascii="Times New Roman" w:hAnsi="Times New Roman"/>
          <w:b/>
          <w:bCs/>
          <w:color w:val="auto"/>
          <w:sz w:val="24"/>
          <w:szCs w:val="24"/>
          <w:highlight w:val="none"/>
        </w:rPr>
        <w:t>采购人</w:t>
      </w:r>
      <w:r>
        <w:rPr>
          <w:rFonts w:hint="eastAsia" w:ascii="Times New Roman" w:hAnsi="Times New Roman"/>
          <w:color w:val="auto"/>
          <w:sz w:val="24"/>
          <w:szCs w:val="24"/>
          <w:highlight w:val="none"/>
        </w:rPr>
        <w:t>对供应商资格条件进行审查，有一项不符合的视为未通过资格审查，不得进入下一评审程序。</w:t>
      </w:r>
    </w:p>
    <w:p w14:paraId="55C129B6">
      <w:pPr>
        <w:spacing w:line="360" w:lineRule="auto"/>
        <w:ind w:firstLine="410" w:firstLineChars="171"/>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6</w:t>
      </w:r>
      <w:r>
        <w:rPr>
          <w:rFonts w:hint="eastAsia" w:ascii="Times New Roman" w:hAnsi="Times New Roman"/>
          <w:color w:val="auto"/>
          <w:sz w:val="24"/>
          <w:szCs w:val="24"/>
          <w:highlight w:val="none"/>
        </w:rPr>
        <w:t>）采购人将符合资格审查的电子化投标文件提交于评标委员会进行评审、比较。</w:t>
      </w:r>
    </w:p>
    <w:p w14:paraId="5BFC6A90">
      <w:pPr>
        <w:keepNext/>
        <w:keepLines/>
        <w:spacing w:line="360" w:lineRule="auto"/>
        <w:jc w:val="center"/>
        <w:outlineLvl w:val="1"/>
        <w:rPr>
          <w:rFonts w:ascii="Times New Roman" w:hAnsi="Times New Roman"/>
          <w:b/>
          <w:bCs/>
          <w:color w:val="auto"/>
          <w:sz w:val="24"/>
          <w:szCs w:val="24"/>
          <w:highlight w:val="none"/>
        </w:rPr>
      </w:pPr>
      <w:bookmarkStart w:id="256" w:name="_Toc508873151"/>
      <w:bookmarkStart w:id="257" w:name="_Toc508113537"/>
      <w:bookmarkStart w:id="258" w:name="_Toc525836315"/>
      <w:bookmarkStart w:id="259" w:name="_Toc176358344"/>
      <w:bookmarkStart w:id="260" w:name="_Toc517338611"/>
      <w:bookmarkStart w:id="261" w:name="_Toc479341582"/>
      <w:r>
        <w:rPr>
          <w:rFonts w:hint="eastAsia" w:ascii="Times New Roman" w:hAnsi="Times New Roman"/>
          <w:b/>
          <w:bCs/>
          <w:color w:val="auto"/>
          <w:sz w:val="24"/>
          <w:szCs w:val="24"/>
          <w:highlight w:val="none"/>
        </w:rPr>
        <w:t>六、</w:t>
      </w:r>
      <w:r>
        <w:rPr>
          <w:rFonts w:ascii="Times New Roman" w:hAnsi="Times New Roman"/>
          <w:b/>
          <w:bCs/>
          <w:color w:val="auto"/>
          <w:sz w:val="24"/>
          <w:szCs w:val="24"/>
          <w:highlight w:val="none"/>
        </w:rPr>
        <w:t xml:space="preserve"> </w:t>
      </w:r>
      <w:r>
        <w:rPr>
          <w:rFonts w:hint="eastAsia" w:ascii="Times New Roman" w:hAnsi="Times New Roman"/>
          <w:b/>
          <w:bCs/>
          <w:color w:val="auto"/>
          <w:sz w:val="24"/>
          <w:szCs w:val="24"/>
          <w:highlight w:val="none"/>
        </w:rPr>
        <w:t>评</w:t>
      </w:r>
      <w:r>
        <w:rPr>
          <w:rFonts w:ascii="Times New Roman" w:hAnsi="Times New Roman"/>
          <w:b/>
          <w:bCs/>
          <w:color w:val="auto"/>
          <w:sz w:val="24"/>
          <w:szCs w:val="24"/>
          <w:highlight w:val="none"/>
        </w:rPr>
        <w:t xml:space="preserve"> </w:t>
      </w:r>
      <w:r>
        <w:rPr>
          <w:rFonts w:hint="eastAsia" w:ascii="Times New Roman" w:hAnsi="Times New Roman"/>
          <w:b/>
          <w:bCs/>
          <w:color w:val="auto"/>
          <w:sz w:val="24"/>
          <w:szCs w:val="24"/>
          <w:highlight w:val="none"/>
        </w:rPr>
        <w:t>标</w:t>
      </w:r>
      <w:bookmarkEnd w:id="255"/>
      <w:bookmarkEnd w:id="256"/>
      <w:bookmarkEnd w:id="257"/>
      <w:bookmarkEnd w:id="258"/>
      <w:bookmarkEnd w:id="259"/>
      <w:bookmarkEnd w:id="260"/>
      <w:bookmarkEnd w:id="261"/>
      <w:bookmarkStart w:id="262" w:name="_Toc479341583"/>
      <w:bookmarkStart w:id="263" w:name="_Toc25792"/>
      <w:bookmarkStart w:id="264" w:name="_Toc508113538"/>
      <w:bookmarkStart w:id="265" w:name="_Toc522288476"/>
      <w:bookmarkStart w:id="266" w:name="_Toc517338612"/>
      <w:bookmarkStart w:id="267" w:name="_Toc509822592"/>
    </w:p>
    <w:p w14:paraId="41DCAF09">
      <w:pPr>
        <w:keepNext/>
        <w:keepLines/>
        <w:spacing w:line="360" w:lineRule="auto"/>
        <w:jc w:val="left"/>
        <w:outlineLvl w:val="2"/>
        <w:rPr>
          <w:rFonts w:ascii="Times New Roman" w:hAnsi="Times New Roman"/>
          <w:b/>
          <w:bCs/>
          <w:color w:val="auto"/>
          <w:sz w:val="24"/>
          <w:szCs w:val="24"/>
          <w:highlight w:val="none"/>
        </w:rPr>
      </w:pPr>
      <w:bookmarkStart w:id="268" w:name="_Toc113892437"/>
      <w:bookmarkStart w:id="269" w:name="_Toc170287294"/>
      <w:bookmarkStart w:id="270" w:name="_Toc176358345"/>
      <w:bookmarkStart w:id="271" w:name="_Toc113891925"/>
      <w:bookmarkStart w:id="272" w:name="_Toc151210137"/>
      <w:bookmarkStart w:id="273" w:name="_Toc170287642"/>
      <w:r>
        <w:rPr>
          <w:rFonts w:ascii="Times New Roman" w:hAnsi="Times New Roman"/>
          <w:b/>
          <w:bCs/>
          <w:color w:val="auto"/>
          <w:sz w:val="24"/>
          <w:szCs w:val="24"/>
          <w:highlight w:val="none"/>
        </w:rPr>
        <w:t>22</w:t>
      </w:r>
      <w:r>
        <w:rPr>
          <w:rFonts w:hint="eastAsia" w:ascii="Times New Roman" w:hAnsi="Times New Roman"/>
          <w:b/>
          <w:bCs/>
          <w:color w:val="auto"/>
          <w:sz w:val="24"/>
          <w:szCs w:val="24"/>
          <w:highlight w:val="none"/>
        </w:rPr>
        <w:t>、评标委员会</w:t>
      </w:r>
      <w:bookmarkEnd w:id="262"/>
      <w:bookmarkEnd w:id="263"/>
      <w:bookmarkEnd w:id="264"/>
      <w:bookmarkEnd w:id="265"/>
      <w:bookmarkEnd w:id="266"/>
      <w:bookmarkEnd w:id="267"/>
      <w:bookmarkEnd w:id="268"/>
      <w:bookmarkEnd w:id="269"/>
      <w:bookmarkEnd w:id="270"/>
      <w:bookmarkEnd w:id="271"/>
      <w:bookmarkEnd w:id="272"/>
      <w:bookmarkEnd w:id="273"/>
    </w:p>
    <w:p w14:paraId="60EC54A5">
      <w:pPr>
        <w:spacing w:line="360" w:lineRule="auto"/>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22.1</w:t>
      </w:r>
      <w:r>
        <w:rPr>
          <w:rFonts w:hint="eastAsia" w:ascii="Times New Roman" w:hAnsi="Times New Roman"/>
          <w:color w:val="auto"/>
          <w:sz w:val="24"/>
          <w:szCs w:val="24"/>
          <w:highlight w:val="none"/>
        </w:rPr>
        <w:t>评标由依法组建的评标委员会负责。评标委员会由采购人代表和评审专家组成。评审专家的确定方式见供应商须知前附表。</w:t>
      </w:r>
    </w:p>
    <w:p w14:paraId="130CCE91">
      <w:pPr>
        <w:spacing w:line="360" w:lineRule="auto"/>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 xml:space="preserve">22.2 </w:t>
      </w:r>
      <w:r>
        <w:rPr>
          <w:rFonts w:hint="eastAsia" w:ascii="Times New Roman" w:hAnsi="Times New Roman"/>
          <w:color w:val="auto"/>
          <w:sz w:val="24"/>
          <w:szCs w:val="24"/>
          <w:highlight w:val="none"/>
        </w:rPr>
        <w:t>评标委员会成员有下列情形之一的，应当回避：</w:t>
      </w:r>
    </w:p>
    <w:p w14:paraId="007C25EC">
      <w:pPr>
        <w:spacing w:line="360" w:lineRule="auto"/>
        <w:ind w:firstLine="456" w:firstLineChars="19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1</w:t>
      </w:r>
      <w:r>
        <w:rPr>
          <w:rFonts w:hint="eastAsia" w:ascii="Times New Roman" w:hAnsi="Times New Roman"/>
          <w:color w:val="auto"/>
          <w:sz w:val="24"/>
          <w:szCs w:val="24"/>
          <w:highlight w:val="none"/>
        </w:rPr>
        <w:t>）采购人或投标供应商的主要负责人的近亲属；</w:t>
      </w:r>
    </w:p>
    <w:p w14:paraId="6721E82B">
      <w:pPr>
        <w:spacing w:line="360" w:lineRule="auto"/>
        <w:ind w:firstLine="480" w:firstLineChars="20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2</w:t>
      </w:r>
      <w:r>
        <w:rPr>
          <w:rFonts w:hint="eastAsia" w:ascii="Times New Roman" w:hAnsi="Times New Roman"/>
          <w:color w:val="auto"/>
          <w:sz w:val="24"/>
          <w:szCs w:val="24"/>
          <w:highlight w:val="none"/>
        </w:rPr>
        <w:t>）项目主管部门或者行政监督部门的人员；</w:t>
      </w:r>
    </w:p>
    <w:p w14:paraId="3ADEAE73">
      <w:pPr>
        <w:spacing w:line="360" w:lineRule="auto"/>
        <w:ind w:firstLine="480" w:firstLineChars="20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3</w:t>
      </w:r>
      <w:r>
        <w:rPr>
          <w:rFonts w:hint="eastAsia" w:ascii="Times New Roman" w:hAnsi="Times New Roman"/>
          <w:color w:val="auto"/>
          <w:sz w:val="24"/>
          <w:szCs w:val="24"/>
          <w:highlight w:val="none"/>
        </w:rPr>
        <w:t>）与投标供应商有经济利益关系，可能影响对投标公正评审的；</w:t>
      </w:r>
    </w:p>
    <w:p w14:paraId="63064DC8">
      <w:pPr>
        <w:spacing w:line="360" w:lineRule="auto"/>
        <w:ind w:firstLine="480" w:firstLineChars="20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4</w:t>
      </w:r>
      <w:r>
        <w:rPr>
          <w:rFonts w:hint="eastAsia" w:ascii="Times New Roman" w:hAnsi="Times New Roman"/>
          <w:color w:val="auto"/>
          <w:sz w:val="24"/>
          <w:szCs w:val="24"/>
          <w:highlight w:val="none"/>
        </w:rPr>
        <w:t>）曾因在招标、评标以及其他与招标投标有关活动中从事违法行为而受过行政处罚或刑事处罚的。</w:t>
      </w:r>
    </w:p>
    <w:p w14:paraId="4ECA6650">
      <w:pPr>
        <w:keepNext/>
        <w:keepLines/>
        <w:spacing w:line="360" w:lineRule="auto"/>
        <w:jc w:val="left"/>
        <w:outlineLvl w:val="2"/>
        <w:rPr>
          <w:rFonts w:ascii="Times New Roman" w:hAnsi="Times New Roman"/>
          <w:b/>
          <w:bCs/>
          <w:color w:val="auto"/>
          <w:sz w:val="24"/>
          <w:szCs w:val="24"/>
          <w:highlight w:val="none"/>
        </w:rPr>
      </w:pPr>
      <w:bookmarkStart w:id="274" w:name="_Toc176358346"/>
      <w:bookmarkStart w:id="275" w:name="_Toc517338613"/>
      <w:bookmarkStart w:id="276" w:name="_Toc5934"/>
      <w:bookmarkStart w:id="277" w:name="_Toc170287295"/>
      <w:bookmarkStart w:id="278" w:name="_Toc151210138"/>
      <w:bookmarkStart w:id="279" w:name="_Toc170287643"/>
      <w:bookmarkStart w:id="280" w:name="_Toc113891926"/>
      <w:bookmarkStart w:id="281" w:name="_Toc479341584"/>
      <w:bookmarkStart w:id="282" w:name="_Toc113892438"/>
      <w:bookmarkStart w:id="283" w:name="_Toc522288477"/>
      <w:bookmarkStart w:id="284" w:name="_Toc509822593"/>
      <w:bookmarkStart w:id="285" w:name="_Toc508113539"/>
      <w:r>
        <w:rPr>
          <w:rFonts w:ascii="Times New Roman" w:hAnsi="Times New Roman"/>
          <w:b/>
          <w:bCs/>
          <w:color w:val="auto"/>
          <w:sz w:val="24"/>
          <w:szCs w:val="24"/>
          <w:highlight w:val="none"/>
        </w:rPr>
        <w:t>23</w:t>
      </w:r>
      <w:r>
        <w:rPr>
          <w:rFonts w:hint="eastAsia" w:ascii="Times New Roman" w:hAnsi="Times New Roman"/>
          <w:b/>
          <w:bCs/>
          <w:color w:val="auto"/>
          <w:sz w:val="24"/>
          <w:szCs w:val="24"/>
          <w:highlight w:val="none"/>
        </w:rPr>
        <w:t>、评标原则</w:t>
      </w:r>
      <w:bookmarkEnd w:id="274"/>
      <w:bookmarkEnd w:id="275"/>
      <w:bookmarkEnd w:id="276"/>
      <w:bookmarkEnd w:id="277"/>
      <w:bookmarkEnd w:id="278"/>
      <w:bookmarkEnd w:id="279"/>
      <w:bookmarkEnd w:id="280"/>
      <w:bookmarkEnd w:id="281"/>
      <w:bookmarkEnd w:id="282"/>
      <w:bookmarkEnd w:id="283"/>
      <w:bookmarkEnd w:id="284"/>
      <w:bookmarkEnd w:id="285"/>
      <w:r>
        <w:rPr>
          <w:rFonts w:ascii="Times New Roman" w:hAnsi="Times New Roman"/>
          <w:b/>
          <w:bCs/>
          <w:color w:val="auto"/>
          <w:sz w:val="24"/>
          <w:szCs w:val="24"/>
          <w:highlight w:val="none"/>
        </w:rPr>
        <w:tab/>
      </w:r>
    </w:p>
    <w:p w14:paraId="0F351DED">
      <w:pPr>
        <w:spacing w:line="360" w:lineRule="auto"/>
        <w:ind w:firstLine="480" w:firstLineChars="20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评标活动遵循公平、公正、科学和择优的原则。</w:t>
      </w:r>
      <w:bookmarkStart w:id="286" w:name="_Toc509822594"/>
      <w:bookmarkStart w:id="287" w:name="_Toc23282"/>
      <w:bookmarkStart w:id="288" w:name="_Toc517338614"/>
      <w:bookmarkStart w:id="289" w:name="_Toc479341585"/>
      <w:bookmarkStart w:id="290" w:name="_Toc522288478"/>
      <w:bookmarkStart w:id="291" w:name="_Toc508113540"/>
    </w:p>
    <w:p w14:paraId="4F287F4A">
      <w:pPr>
        <w:keepNext/>
        <w:keepLines/>
        <w:spacing w:line="360" w:lineRule="auto"/>
        <w:jc w:val="left"/>
        <w:outlineLvl w:val="2"/>
        <w:rPr>
          <w:rFonts w:ascii="Times New Roman" w:hAnsi="Times New Roman"/>
          <w:b/>
          <w:bCs/>
          <w:color w:val="auto"/>
          <w:sz w:val="24"/>
          <w:szCs w:val="24"/>
          <w:highlight w:val="none"/>
        </w:rPr>
      </w:pPr>
      <w:bookmarkStart w:id="292" w:name="_Toc113892439"/>
      <w:bookmarkStart w:id="293" w:name="_Toc151210139"/>
      <w:bookmarkStart w:id="294" w:name="_Toc176358347"/>
      <w:bookmarkStart w:id="295" w:name="_Toc170287296"/>
      <w:bookmarkStart w:id="296" w:name="_Toc170287644"/>
      <w:bookmarkStart w:id="297" w:name="_Toc113891927"/>
      <w:r>
        <w:rPr>
          <w:rFonts w:ascii="Times New Roman" w:hAnsi="Times New Roman"/>
          <w:b/>
          <w:bCs/>
          <w:color w:val="auto"/>
          <w:sz w:val="24"/>
          <w:szCs w:val="24"/>
          <w:highlight w:val="none"/>
        </w:rPr>
        <w:t>24</w:t>
      </w:r>
      <w:r>
        <w:rPr>
          <w:rFonts w:hint="eastAsia" w:ascii="Times New Roman" w:hAnsi="Times New Roman"/>
          <w:b/>
          <w:bCs/>
          <w:color w:val="auto"/>
          <w:sz w:val="24"/>
          <w:szCs w:val="24"/>
          <w:highlight w:val="none"/>
        </w:rPr>
        <w:t>、评标</w:t>
      </w:r>
      <w:bookmarkEnd w:id="286"/>
      <w:bookmarkEnd w:id="287"/>
      <w:bookmarkEnd w:id="288"/>
      <w:bookmarkEnd w:id="289"/>
      <w:bookmarkEnd w:id="290"/>
      <w:bookmarkEnd w:id="291"/>
      <w:bookmarkEnd w:id="292"/>
      <w:bookmarkEnd w:id="293"/>
      <w:bookmarkEnd w:id="294"/>
      <w:bookmarkEnd w:id="295"/>
      <w:bookmarkEnd w:id="296"/>
      <w:bookmarkEnd w:id="297"/>
    </w:p>
    <w:p w14:paraId="61D3ACD6">
      <w:pPr>
        <w:spacing w:line="360" w:lineRule="auto"/>
        <w:ind w:firstLine="480" w:firstLineChars="20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评标委员会按照第四章“评标办法”规定的方法、评审因素、标准和程序对投标文件进行评审。第四章“评标办法”没有规定的方法、评审因素和标准，不作为评标依据。</w:t>
      </w:r>
    </w:p>
    <w:p w14:paraId="20A9F75F">
      <w:pPr>
        <w:keepNext/>
        <w:keepLines/>
        <w:spacing w:line="360" w:lineRule="auto"/>
        <w:jc w:val="left"/>
        <w:outlineLvl w:val="2"/>
        <w:rPr>
          <w:rFonts w:ascii="Times New Roman" w:hAnsi="Times New Roman"/>
          <w:b/>
          <w:bCs/>
          <w:color w:val="auto"/>
          <w:sz w:val="24"/>
          <w:szCs w:val="24"/>
          <w:highlight w:val="none"/>
        </w:rPr>
      </w:pPr>
      <w:bookmarkStart w:id="298" w:name="_Toc176358348"/>
      <w:bookmarkStart w:id="299" w:name="_Toc113891928"/>
      <w:bookmarkStart w:id="300" w:name="_Toc170287297"/>
      <w:bookmarkStart w:id="301" w:name="_Toc113892440"/>
      <w:bookmarkStart w:id="302" w:name="_Toc170287645"/>
      <w:bookmarkStart w:id="303" w:name="_Toc151210140"/>
      <w:r>
        <w:rPr>
          <w:rFonts w:ascii="Times New Roman" w:hAnsi="Times New Roman"/>
          <w:b/>
          <w:bCs/>
          <w:color w:val="auto"/>
          <w:sz w:val="24"/>
          <w:szCs w:val="24"/>
          <w:highlight w:val="none"/>
        </w:rPr>
        <w:t>25</w:t>
      </w:r>
      <w:r>
        <w:rPr>
          <w:rFonts w:hint="eastAsia" w:ascii="Times New Roman" w:hAnsi="Times New Roman"/>
          <w:b/>
          <w:bCs/>
          <w:color w:val="auto"/>
          <w:sz w:val="24"/>
          <w:szCs w:val="24"/>
          <w:highlight w:val="none"/>
        </w:rPr>
        <w:t>、评标纪律</w:t>
      </w:r>
      <w:bookmarkEnd w:id="298"/>
      <w:bookmarkEnd w:id="299"/>
      <w:bookmarkEnd w:id="300"/>
      <w:bookmarkEnd w:id="301"/>
      <w:bookmarkEnd w:id="302"/>
      <w:bookmarkEnd w:id="303"/>
    </w:p>
    <w:p w14:paraId="5F22267F">
      <w:pPr>
        <w:spacing w:line="464"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25.1</w:t>
      </w:r>
      <w:r>
        <w:rPr>
          <w:rFonts w:hint="eastAsia" w:ascii="Times New Roman" w:hAnsi="Times New Roman"/>
          <w:color w:val="auto"/>
          <w:sz w:val="24"/>
          <w:szCs w:val="24"/>
          <w:highlight w:val="none"/>
        </w:rPr>
        <w:t>评标委员会成员和参与评标工作的有关人员不得透露对投标文件的评审和比较、中标候选人的推荐情况以及与评标有关的其它情况。</w:t>
      </w:r>
    </w:p>
    <w:p w14:paraId="076FD192">
      <w:pPr>
        <w:spacing w:line="464"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25.2</w:t>
      </w:r>
      <w:r>
        <w:rPr>
          <w:rFonts w:hint="eastAsia" w:ascii="Times New Roman" w:hAnsi="Times New Roman"/>
          <w:color w:val="auto"/>
          <w:sz w:val="24"/>
          <w:szCs w:val="24"/>
          <w:highlight w:val="none"/>
        </w:rPr>
        <w:t>开标以后至授予中标通知书前，任何投标供应商均不得就与其投标文件有关的问题主动与采购人和招标代理机构发生联系。</w:t>
      </w:r>
    </w:p>
    <w:p w14:paraId="17129004">
      <w:pPr>
        <w:spacing w:line="464"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25.3</w:t>
      </w:r>
      <w:r>
        <w:rPr>
          <w:rFonts w:hint="eastAsia" w:ascii="Times New Roman" w:hAnsi="Times New Roman"/>
          <w:color w:val="auto"/>
          <w:sz w:val="24"/>
          <w:szCs w:val="24"/>
          <w:highlight w:val="none"/>
        </w:rPr>
        <w:t>如果投标供应商试图对评标委员会的评标施加影响，则将导致该投标供应商的投标文件被拒绝。</w:t>
      </w:r>
    </w:p>
    <w:p w14:paraId="2E15D825">
      <w:pPr>
        <w:keepNext/>
        <w:keepLines/>
        <w:spacing w:line="360" w:lineRule="auto"/>
        <w:jc w:val="left"/>
        <w:outlineLvl w:val="2"/>
        <w:rPr>
          <w:rFonts w:ascii="Times New Roman" w:hAnsi="Times New Roman"/>
          <w:b/>
          <w:bCs/>
          <w:color w:val="auto"/>
          <w:sz w:val="24"/>
          <w:szCs w:val="24"/>
          <w:highlight w:val="none"/>
        </w:rPr>
      </w:pPr>
      <w:bookmarkStart w:id="304" w:name="_Toc113892441"/>
      <w:bookmarkStart w:id="305" w:name="_Toc113891929"/>
      <w:bookmarkStart w:id="306" w:name="_Toc170287646"/>
      <w:bookmarkStart w:id="307" w:name="_Toc151210141"/>
      <w:bookmarkStart w:id="308" w:name="_Toc170287298"/>
      <w:bookmarkStart w:id="309" w:name="_Toc176358349"/>
      <w:r>
        <w:rPr>
          <w:rFonts w:ascii="Times New Roman" w:hAnsi="Times New Roman"/>
          <w:b/>
          <w:bCs/>
          <w:color w:val="auto"/>
          <w:sz w:val="24"/>
          <w:szCs w:val="24"/>
          <w:highlight w:val="none"/>
        </w:rPr>
        <w:t>26</w:t>
      </w:r>
      <w:r>
        <w:rPr>
          <w:rFonts w:hint="eastAsia" w:ascii="Times New Roman" w:hAnsi="Times New Roman"/>
          <w:b/>
          <w:bCs/>
          <w:color w:val="auto"/>
          <w:sz w:val="24"/>
          <w:szCs w:val="24"/>
          <w:highlight w:val="none"/>
        </w:rPr>
        <w:t>、评标过程的保密</w:t>
      </w:r>
      <w:bookmarkEnd w:id="304"/>
      <w:bookmarkEnd w:id="305"/>
      <w:bookmarkEnd w:id="306"/>
      <w:bookmarkEnd w:id="307"/>
      <w:bookmarkEnd w:id="308"/>
      <w:bookmarkEnd w:id="309"/>
    </w:p>
    <w:p w14:paraId="0281E07C">
      <w:pPr>
        <w:spacing w:line="464"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26.1</w:t>
      </w:r>
      <w:r>
        <w:rPr>
          <w:rFonts w:hint="eastAsia" w:ascii="Times New Roman" w:hAnsi="Times New Roman"/>
          <w:color w:val="auto"/>
          <w:sz w:val="24"/>
          <w:szCs w:val="24"/>
          <w:highlight w:val="none"/>
        </w:rPr>
        <w:t>开标后，直至授予中标供应商合同为止，凡属于对投标文件的审查、澄清、评价和比较有关的资料，中标候选人的推荐情况，及其他任何与评标有关的情况均应严格保密。</w:t>
      </w:r>
    </w:p>
    <w:p w14:paraId="24DCEEDF">
      <w:pPr>
        <w:spacing w:line="464"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26.2</w:t>
      </w:r>
      <w:r>
        <w:rPr>
          <w:rFonts w:hint="eastAsia" w:ascii="Times New Roman" w:hAnsi="Times New Roman"/>
          <w:color w:val="auto"/>
          <w:sz w:val="24"/>
          <w:szCs w:val="24"/>
          <w:highlight w:val="none"/>
        </w:rPr>
        <w:t>在投标文件的评审和比较、中标候选人推荐以及授予合同的过程中，投标供应商向采购人和评标委员会施加影响的任何行为，都将会导致其投标被拒绝。</w:t>
      </w:r>
    </w:p>
    <w:p w14:paraId="70DA1D50">
      <w:pPr>
        <w:spacing w:line="464"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26.3</w:t>
      </w:r>
      <w:r>
        <w:rPr>
          <w:rFonts w:hint="eastAsia" w:ascii="Times New Roman" w:hAnsi="Times New Roman"/>
          <w:color w:val="auto"/>
          <w:sz w:val="24"/>
          <w:szCs w:val="24"/>
          <w:highlight w:val="none"/>
        </w:rPr>
        <w:t>中标供应商确定后，采购人不对未中标供应商就评标过程以及未能中标原因作出任何解释。未中标供应商不得向评标委员会组成人员或其他有关人员索问评标过程的情况和材料。</w:t>
      </w:r>
    </w:p>
    <w:p w14:paraId="501ECA50">
      <w:pPr>
        <w:keepNext/>
        <w:keepLines/>
        <w:spacing w:line="360" w:lineRule="auto"/>
        <w:jc w:val="center"/>
        <w:outlineLvl w:val="1"/>
        <w:rPr>
          <w:rFonts w:ascii="Times New Roman" w:hAnsi="Times New Roman"/>
          <w:b/>
          <w:bCs/>
          <w:color w:val="auto"/>
          <w:sz w:val="24"/>
          <w:szCs w:val="24"/>
          <w:highlight w:val="none"/>
        </w:rPr>
      </w:pPr>
      <w:bookmarkStart w:id="310" w:name="_Toc8618"/>
      <w:bookmarkStart w:id="311" w:name="_Toc517338615"/>
      <w:bookmarkStart w:id="312" w:name="_Toc508113541"/>
      <w:bookmarkStart w:id="313" w:name="_Toc176358350"/>
      <w:bookmarkStart w:id="314" w:name="_Toc479341586"/>
      <w:bookmarkStart w:id="315" w:name="_Toc525836316"/>
      <w:bookmarkStart w:id="316" w:name="_Toc508873152"/>
      <w:r>
        <w:rPr>
          <w:rFonts w:hint="eastAsia" w:ascii="Times New Roman" w:hAnsi="Times New Roman"/>
          <w:b/>
          <w:bCs/>
          <w:color w:val="auto"/>
          <w:sz w:val="24"/>
          <w:szCs w:val="24"/>
          <w:highlight w:val="none"/>
        </w:rPr>
        <w:t>七、合同授予</w:t>
      </w:r>
      <w:bookmarkEnd w:id="310"/>
      <w:bookmarkEnd w:id="311"/>
      <w:bookmarkEnd w:id="312"/>
      <w:bookmarkEnd w:id="313"/>
      <w:bookmarkEnd w:id="314"/>
      <w:bookmarkEnd w:id="315"/>
      <w:bookmarkEnd w:id="316"/>
    </w:p>
    <w:p w14:paraId="09FAC846">
      <w:pPr>
        <w:keepNext/>
        <w:keepLines/>
        <w:spacing w:line="360" w:lineRule="auto"/>
        <w:jc w:val="left"/>
        <w:outlineLvl w:val="2"/>
        <w:rPr>
          <w:rFonts w:ascii="Times New Roman" w:hAnsi="Times New Roman"/>
          <w:b/>
          <w:bCs/>
          <w:color w:val="auto"/>
          <w:sz w:val="24"/>
          <w:szCs w:val="24"/>
          <w:highlight w:val="none"/>
        </w:rPr>
      </w:pPr>
      <w:bookmarkStart w:id="317" w:name="_Toc113892443"/>
      <w:bookmarkStart w:id="318" w:name="_Toc170287648"/>
      <w:bookmarkStart w:id="319" w:name="_Toc113891931"/>
      <w:bookmarkStart w:id="320" w:name="_Toc170287300"/>
      <w:bookmarkStart w:id="321" w:name="_Toc176358351"/>
      <w:bookmarkStart w:id="322" w:name="_Toc151210143"/>
      <w:bookmarkStart w:id="323" w:name="_Toc25766"/>
      <w:r>
        <w:rPr>
          <w:rFonts w:ascii="Times New Roman" w:hAnsi="Times New Roman"/>
          <w:b/>
          <w:bCs/>
          <w:color w:val="auto"/>
          <w:sz w:val="24"/>
          <w:szCs w:val="24"/>
          <w:highlight w:val="none"/>
        </w:rPr>
        <w:t>27</w:t>
      </w:r>
      <w:r>
        <w:rPr>
          <w:rFonts w:hint="eastAsia" w:ascii="Times New Roman" w:hAnsi="Times New Roman"/>
          <w:b/>
          <w:bCs/>
          <w:color w:val="auto"/>
          <w:sz w:val="24"/>
          <w:szCs w:val="24"/>
          <w:highlight w:val="none"/>
        </w:rPr>
        <w:t>、中标结果公告</w:t>
      </w:r>
      <w:bookmarkEnd w:id="317"/>
      <w:bookmarkEnd w:id="318"/>
      <w:bookmarkEnd w:id="319"/>
      <w:bookmarkEnd w:id="320"/>
      <w:bookmarkEnd w:id="321"/>
      <w:bookmarkEnd w:id="322"/>
    </w:p>
    <w:p w14:paraId="2961446D">
      <w:pPr>
        <w:spacing w:line="360" w:lineRule="auto"/>
        <w:jc w:val="left"/>
        <w:rPr>
          <w:rFonts w:ascii="Times New Roman" w:hAnsi="Times New Roman"/>
          <w:color w:val="auto"/>
          <w:sz w:val="24"/>
          <w:szCs w:val="24"/>
          <w:highlight w:val="none"/>
        </w:rPr>
      </w:pP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rPr>
        <w:t>采购人或者采购代理机构应当自中标供应商确定之日起</w:t>
      </w:r>
      <w:r>
        <w:rPr>
          <w:rFonts w:ascii="Times New Roman" w:hAnsi="Times New Roman"/>
          <w:color w:val="auto"/>
          <w:sz w:val="24"/>
          <w:szCs w:val="24"/>
          <w:highlight w:val="none"/>
        </w:rPr>
        <w:t>2</w:t>
      </w:r>
      <w:r>
        <w:rPr>
          <w:rFonts w:hint="eastAsia" w:ascii="Times New Roman" w:hAnsi="Times New Roman"/>
          <w:color w:val="auto"/>
          <w:sz w:val="24"/>
          <w:szCs w:val="24"/>
          <w:highlight w:val="none"/>
        </w:rPr>
        <w:t>个工作日内，在招标公告发布媒体上公告中标结果，并同时发出中标通知书。公告期限为</w:t>
      </w:r>
      <w:r>
        <w:rPr>
          <w:rFonts w:ascii="Times New Roman" w:hAnsi="Times New Roman"/>
          <w:color w:val="auto"/>
          <w:sz w:val="24"/>
          <w:szCs w:val="24"/>
          <w:highlight w:val="none"/>
        </w:rPr>
        <w:t>1</w:t>
      </w:r>
      <w:r>
        <w:rPr>
          <w:rFonts w:hint="eastAsia" w:ascii="Times New Roman" w:hAnsi="Times New Roman"/>
          <w:color w:val="auto"/>
          <w:sz w:val="24"/>
          <w:szCs w:val="24"/>
          <w:highlight w:val="none"/>
        </w:rPr>
        <w:t>个工作日。</w:t>
      </w:r>
    </w:p>
    <w:bookmarkEnd w:id="323"/>
    <w:p w14:paraId="651A3F1D">
      <w:pPr>
        <w:spacing w:line="360" w:lineRule="auto"/>
        <w:jc w:val="left"/>
        <w:outlineLvl w:val="2"/>
        <w:rPr>
          <w:rFonts w:ascii="Times New Roman" w:hAnsi="Times New Roman"/>
          <w:b/>
          <w:bCs/>
          <w:color w:val="auto"/>
          <w:sz w:val="24"/>
          <w:szCs w:val="24"/>
          <w:highlight w:val="none"/>
        </w:rPr>
      </w:pPr>
      <w:bookmarkStart w:id="324" w:name="_Toc151210144"/>
      <w:bookmarkStart w:id="325" w:name="_Toc176358352"/>
      <w:bookmarkStart w:id="326" w:name="_Toc170287649"/>
      <w:bookmarkStart w:id="327" w:name="_Toc113891932"/>
      <w:bookmarkStart w:id="328" w:name="_Toc113892444"/>
      <w:bookmarkStart w:id="329" w:name="_Toc170287301"/>
      <w:r>
        <w:rPr>
          <w:rFonts w:ascii="Times New Roman" w:hAnsi="Times New Roman"/>
          <w:b/>
          <w:color w:val="auto"/>
          <w:sz w:val="24"/>
          <w:szCs w:val="24"/>
          <w:highlight w:val="none"/>
        </w:rPr>
        <w:t>2</w:t>
      </w:r>
      <w:r>
        <w:rPr>
          <w:rFonts w:ascii="Times New Roman" w:hAnsi="Times New Roman"/>
          <w:b/>
          <w:bCs/>
          <w:color w:val="auto"/>
          <w:sz w:val="24"/>
          <w:szCs w:val="24"/>
          <w:highlight w:val="none"/>
        </w:rPr>
        <w:t>8</w:t>
      </w:r>
      <w:r>
        <w:rPr>
          <w:rFonts w:hint="eastAsia" w:ascii="Times New Roman" w:hAnsi="Times New Roman"/>
          <w:b/>
          <w:bCs/>
          <w:color w:val="auto"/>
          <w:sz w:val="24"/>
          <w:szCs w:val="24"/>
          <w:highlight w:val="none"/>
        </w:rPr>
        <w:t>、质疑和投诉</w:t>
      </w:r>
      <w:bookmarkEnd w:id="324"/>
      <w:bookmarkEnd w:id="325"/>
      <w:bookmarkEnd w:id="326"/>
      <w:bookmarkEnd w:id="327"/>
      <w:bookmarkEnd w:id="328"/>
      <w:bookmarkEnd w:id="329"/>
    </w:p>
    <w:p w14:paraId="6DDBADE6">
      <w:pPr>
        <w:spacing w:line="360" w:lineRule="auto"/>
        <w:ind w:firstLine="566" w:firstLineChars="236"/>
        <w:rPr>
          <w:rFonts w:ascii="Times New Roman" w:hAnsi="Times New Roman"/>
          <w:color w:val="auto"/>
          <w:sz w:val="24"/>
          <w:szCs w:val="24"/>
          <w:highlight w:val="none"/>
        </w:rPr>
      </w:pPr>
      <w:r>
        <w:rPr>
          <w:rFonts w:ascii="Times New Roman" w:hAnsi="Times New Roman"/>
          <w:color w:val="auto"/>
          <w:sz w:val="24"/>
          <w:szCs w:val="24"/>
          <w:highlight w:val="none"/>
        </w:rPr>
        <w:t>28.1</w:t>
      </w:r>
      <w:r>
        <w:rPr>
          <w:rFonts w:hint="eastAsia" w:ascii="Times New Roman" w:hAnsi="Times New Roman"/>
          <w:color w:val="auto"/>
          <w:sz w:val="24"/>
          <w:szCs w:val="24"/>
          <w:highlight w:val="none"/>
        </w:rPr>
        <w:t>供应商认为采购过程和中标结果使自己的合法权益受到损害的，可以在知道或者应知其权益受到损害之日起</w:t>
      </w:r>
      <w:r>
        <w:rPr>
          <w:rFonts w:ascii="Times New Roman" w:hAnsi="Times New Roman"/>
          <w:color w:val="auto"/>
          <w:sz w:val="24"/>
          <w:szCs w:val="24"/>
          <w:highlight w:val="none"/>
        </w:rPr>
        <w:t>7</w:t>
      </w:r>
      <w:r>
        <w:rPr>
          <w:rFonts w:hint="eastAsia" w:ascii="Times New Roman" w:hAnsi="Times New Roman"/>
          <w:color w:val="auto"/>
          <w:sz w:val="24"/>
          <w:szCs w:val="24"/>
          <w:highlight w:val="none"/>
        </w:rPr>
        <w:t>个工作日内，以书面形式（经法定代表人或其委托代理人签字并加盖单位公章的质疑函原件）向采购人或采购代理机构提出质疑。采购人、采购代理机构应当在收到质疑函后</w:t>
      </w:r>
      <w:r>
        <w:rPr>
          <w:rFonts w:ascii="Times New Roman" w:hAnsi="Times New Roman"/>
          <w:color w:val="auto"/>
          <w:sz w:val="24"/>
          <w:szCs w:val="24"/>
          <w:highlight w:val="none"/>
        </w:rPr>
        <w:t>7</w:t>
      </w:r>
      <w:r>
        <w:rPr>
          <w:rFonts w:hint="eastAsia" w:ascii="Times New Roman" w:hAnsi="Times New Roman"/>
          <w:color w:val="auto"/>
          <w:sz w:val="24"/>
          <w:szCs w:val="24"/>
          <w:highlight w:val="none"/>
        </w:rPr>
        <w:t>个工作日内作出答复，并以书面形式通知质疑供应商和其他有关供应商。供应商对采购人或采购代理机构的质疑答复不满意或采购人或采购代理机构未在规定时间内作出答复的，可以在答复期满后</w:t>
      </w:r>
      <w:r>
        <w:rPr>
          <w:rFonts w:ascii="Times New Roman" w:hAnsi="Times New Roman"/>
          <w:color w:val="auto"/>
          <w:sz w:val="24"/>
          <w:szCs w:val="24"/>
          <w:highlight w:val="none"/>
        </w:rPr>
        <w:t>15</w:t>
      </w:r>
      <w:r>
        <w:rPr>
          <w:rFonts w:hint="eastAsia" w:ascii="Times New Roman" w:hAnsi="Times New Roman"/>
          <w:color w:val="auto"/>
          <w:sz w:val="24"/>
          <w:szCs w:val="24"/>
          <w:highlight w:val="none"/>
        </w:rPr>
        <w:t>个工作日内向相关监督部门投诉。</w:t>
      </w:r>
    </w:p>
    <w:p w14:paraId="488BAF9F">
      <w:pPr>
        <w:spacing w:line="360" w:lineRule="auto"/>
        <w:ind w:firstLine="566" w:firstLineChars="236"/>
        <w:rPr>
          <w:rFonts w:ascii="Times New Roman" w:hAnsi="Times New Roman"/>
          <w:color w:val="auto"/>
          <w:sz w:val="24"/>
          <w:szCs w:val="24"/>
          <w:highlight w:val="none"/>
        </w:rPr>
      </w:pPr>
      <w:r>
        <w:rPr>
          <w:rFonts w:ascii="Times New Roman" w:hAnsi="Times New Roman"/>
          <w:color w:val="auto"/>
          <w:sz w:val="24"/>
          <w:szCs w:val="24"/>
          <w:highlight w:val="none"/>
        </w:rPr>
        <w:t xml:space="preserve">28.2 </w:t>
      </w:r>
      <w:r>
        <w:rPr>
          <w:rFonts w:hint="eastAsia" w:ascii="Times New Roman" w:hAnsi="Times New Roman"/>
          <w:color w:val="auto"/>
          <w:sz w:val="24"/>
          <w:szCs w:val="24"/>
          <w:highlight w:val="none"/>
        </w:rPr>
        <w:t>质疑、投诉应当采用书面形式，质疑书、投诉书均应明确阐述招标文件、招投标过程和中标结果中使自己合法权益受到损害的实质性内容，提供相关事实、依据和证据及其来源或线索，便于有关单位调查、答复和处理。投标人对其质疑和投诉内容的真实性及其来源的合法性承担法律责任。</w:t>
      </w:r>
    </w:p>
    <w:p w14:paraId="1B138843">
      <w:pPr>
        <w:spacing w:line="360" w:lineRule="auto"/>
        <w:jc w:val="left"/>
        <w:outlineLvl w:val="2"/>
        <w:rPr>
          <w:rFonts w:ascii="Times New Roman" w:hAnsi="Times New Roman"/>
          <w:b/>
          <w:color w:val="auto"/>
          <w:sz w:val="24"/>
          <w:szCs w:val="24"/>
          <w:highlight w:val="none"/>
        </w:rPr>
      </w:pPr>
      <w:bookmarkStart w:id="330" w:name="_Toc170287650"/>
      <w:bookmarkStart w:id="331" w:name="_Toc170287302"/>
      <w:bookmarkStart w:id="332" w:name="_Toc113891933"/>
      <w:bookmarkStart w:id="333" w:name="_Toc113892445"/>
      <w:bookmarkStart w:id="334" w:name="_Toc151210145"/>
      <w:bookmarkStart w:id="335" w:name="_Toc176358353"/>
      <w:r>
        <w:rPr>
          <w:rFonts w:ascii="Times New Roman" w:hAnsi="Times New Roman"/>
          <w:b/>
          <w:color w:val="auto"/>
          <w:sz w:val="24"/>
          <w:szCs w:val="24"/>
          <w:highlight w:val="none"/>
        </w:rPr>
        <w:t>29</w:t>
      </w:r>
      <w:r>
        <w:rPr>
          <w:rFonts w:hint="eastAsia" w:ascii="Times New Roman" w:hAnsi="Times New Roman"/>
          <w:b/>
          <w:color w:val="auto"/>
          <w:sz w:val="24"/>
          <w:szCs w:val="24"/>
          <w:highlight w:val="none"/>
        </w:rPr>
        <w:t>、定标</w:t>
      </w:r>
      <w:bookmarkEnd w:id="330"/>
      <w:bookmarkEnd w:id="331"/>
      <w:bookmarkEnd w:id="332"/>
      <w:bookmarkEnd w:id="333"/>
      <w:bookmarkEnd w:id="334"/>
      <w:bookmarkEnd w:id="335"/>
    </w:p>
    <w:p w14:paraId="7A802F0F">
      <w:pPr>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采购人将确定排名第一的中标候选人为中标人。排名第一的中标候选人放弃中标、因不可抗力不能履行合同、不符合招标文件要求，或者被查实存在影响成交结果的违法行为等情形，不符合中标条件的，采购人可以按照评标委员会提出的中标候选人名单排序依次确定其他成中标选人为中标人，采购人也可以重新招标。</w:t>
      </w:r>
    </w:p>
    <w:p w14:paraId="1ABDDC6A">
      <w:pPr>
        <w:keepNext/>
        <w:keepLines/>
        <w:spacing w:line="360" w:lineRule="auto"/>
        <w:jc w:val="left"/>
        <w:outlineLvl w:val="2"/>
        <w:rPr>
          <w:rFonts w:ascii="Times New Roman" w:hAnsi="Times New Roman"/>
          <w:b/>
          <w:bCs/>
          <w:color w:val="auto"/>
          <w:sz w:val="24"/>
          <w:szCs w:val="24"/>
          <w:highlight w:val="none"/>
        </w:rPr>
      </w:pPr>
      <w:bookmarkStart w:id="336" w:name="_Toc170287303"/>
      <w:bookmarkStart w:id="337" w:name="_Toc151210146"/>
      <w:bookmarkStart w:id="338" w:name="_Toc113891934"/>
      <w:bookmarkStart w:id="339" w:name="_Toc113892446"/>
      <w:bookmarkStart w:id="340" w:name="_Toc170287651"/>
      <w:bookmarkStart w:id="341" w:name="_Toc176358354"/>
      <w:r>
        <w:rPr>
          <w:rFonts w:ascii="Times New Roman" w:hAnsi="Times New Roman"/>
          <w:b/>
          <w:bCs/>
          <w:color w:val="auto"/>
          <w:sz w:val="24"/>
          <w:szCs w:val="24"/>
          <w:highlight w:val="none"/>
        </w:rPr>
        <w:t>30</w:t>
      </w:r>
      <w:r>
        <w:rPr>
          <w:rFonts w:hint="eastAsia" w:ascii="Times New Roman" w:hAnsi="Times New Roman"/>
          <w:b/>
          <w:bCs/>
          <w:color w:val="auto"/>
          <w:sz w:val="24"/>
          <w:szCs w:val="24"/>
          <w:highlight w:val="none"/>
        </w:rPr>
        <w:t>、中标通知</w:t>
      </w:r>
      <w:bookmarkEnd w:id="336"/>
      <w:bookmarkEnd w:id="337"/>
      <w:bookmarkEnd w:id="338"/>
      <w:bookmarkEnd w:id="339"/>
      <w:bookmarkEnd w:id="340"/>
      <w:bookmarkEnd w:id="341"/>
    </w:p>
    <w:p w14:paraId="5DE199F6">
      <w:pPr>
        <w:spacing w:line="500" w:lineRule="exact"/>
        <w:ind w:firstLine="560"/>
        <w:rPr>
          <w:rFonts w:ascii="Times New Roman" w:hAnsi="Times New Roman"/>
          <w:bCs/>
          <w:color w:val="auto"/>
          <w:sz w:val="24"/>
          <w:szCs w:val="24"/>
          <w:highlight w:val="none"/>
        </w:rPr>
      </w:pPr>
      <w:r>
        <w:rPr>
          <w:rFonts w:ascii="Times New Roman" w:hAnsi="Times New Roman"/>
          <w:bCs/>
          <w:color w:val="auto"/>
          <w:sz w:val="24"/>
          <w:szCs w:val="24"/>
          <w:highlight w:val="none"/>
        </w:rPr>
        <w:t>30.1</w:t>
      </w:r>
      <w:r>
        <w:rPr>
          <w:rFonts w:hint="eastAsia" w:ascii="Times New Roman" w:hAnsi="Times New Roman"/>
          <w:bCs/>
          <w:color w:val="auto"/>
          <w:sz w:val="24"/>
          <w:szCs w:val="24"/>
          <w:highlight w:val="none"/>
        </w:rPr>
        <w:t>采购人或者采购代理机构应当自中标人确定之日起</w:t>
      </w:r>
      <w:r>
        <w:rPr>
          <w:rFonts w:ascii="Times New Roman" w:hAnsi="Times New Roman"/>
          <w:bCs/>
          <w:color w:val="auto"/>
          <w:sz w:val="24"/>
          <w:szCs w:val="24"/>
          <w:highlight w:val="none"/>
        </w:rPr>
        <w:t>1</w:t>
      </w:r>
      <w:r>
        <w:rPr>
          <w:rFonts w:hint="eastAsia" w:ascii="Times New Roman" w:hAnsi="Times New Roman"/>
          <w:bCs/>
          <w:color w:val="auto"/>
          <w:sz w:val="24"/>
          <w:szCs w:val="24"/>
          <w:highlight w:val="none"/>
        </w:rPr>
        <w:t>个工作日内，在省级以上财政部门指定的媒体上公告中标结果，招标文件应当随中标结果同时公告。</w:t>
      </w:r>
    </w:p>
    <w:p w14:paraId="394DD130">
      <w:pPr>
        <w:spacing w:line="500" w:lineRule="exact"/>
        <w:ind w:firstLine="560"/>
        <w:rPr>
          <w:rFonts w:ascii="Times New Roman" w:hAnsi="Times New Roman"/>
          <w:bCs/>
          <w:color w:val="auto"/>
          <w:sz w:val="24"/>
          <w:szCs w:val="24"/>
          <w:highlight w:val="none"/>
        </w:rPr>
      </w:pPr>
      <w:r>
        <w:rPr>
          <w:rFonts w:ascii="Times New Roman" w:hAnsi="Times New Roman"/>
          <w:bCs/>
          <w:color w:val="auto"/>
          <w:sz w:val="24"/>
          <w:szCs w:val="24"/>
          <w:highlight w:val="none"/>
        </w:rPr>
        <w:t>30.2</w:t>
      </w:r>
      <w:r>
        <w:rPr>
          <w:rFonts w:hint="eastAsia" w:ascii="Times New Roman" w:hAnsi="Times New Roman"/>
          <w:bCs/>
          <w:color w:val="auto"/>
          <w:sz w:val="24"/>
          <w:szCs w:val="24"/>
          <w:highlight w:val="none"/>
        </w:rPr>
        <w:t>中标结果公告内容应当包括采购人及其委托的采购代理机构的名称、地址、联系方式，项目名称和项目编号，中标人名称、地址和中标金额，主要中标标的的名称、服务要求，中标公告期限以及评审专家名单。中标公告期限为</w:t>
      </w:r>
      <w:r>
        <w:rPr>
          <w:rFonts w:ascii="Times New Roman" w:hAnsi="Times New Roman"/>
          <w:bCs/>
          <w:color w:val="auto"/>
          <w:sz w:val="24"/>
          <w:szCs w:val="24"/>
          <w:highlight w:val="none"/>
        </w:rPr>
        <w:t>1</w:t>
      </w:r>
      <w:r>
        <w:rPr>
          <w:rFonts w:hint="eastAsia" w:ascii="Times New Roman" w:hAnsi="Times New Roman"/>
          <w:bCs/>
          <w:color w:val="auto"/>
          <w:sz w:val="24"/>
          <w:szCs w:val="24"/>
          <w:highlight w:val="none"/>
        </w:rPr>
        <w:t>个工作日。</w:t>
      </w:r>
    </w:p>
    <w:p w14:paraId="0F87806B">
      <w:pPr>
        <w:spacing w:line="500" w:lineRule="exact"/>
        <w:ind w:firstLine="560"/>
        <w:rPr>
          <w:rFonts w:ascii="Times New Roman" w:hAnsi="Times New Roman"/>
          <w:bCs/>
          <w:color w:val="auto"/>
          <w:sz w:val="24"/>
          <w:szCs w:val="24"/>
          <w:highlight w:val="none"/>
        </w:rPr>
      </w:pPr>
      <w:r>
        <w:rPr>
          <w:rFonts w:hint="eastAsia" w:ascii="Times New Roman" w:hAnsi="Times New Roman"/>
          <w:bCs/>
          <w:color w:val="auto"/>
          <w:sz w:val="24"/>
          <w:szCs w:val="24"/>
          <w:highlight w:val="none"/>
        </w:rPr>
        <w:t>在公告中标结果的同时，采购人或者采购代理机构应当向中标人发出中标通知书；对未通过资格审查的投标人，应当告知其未通过的原因。</w:t>
      </w:r>
    </w:p>
    <w:p w14:paraId="300FEF12">
      <w:pPr>
        <w:spacing w:line="500" w:lineRule="exact"/>
        <w:ind w:firstLine="560"/>
        <w:rPr>
          <w:rFonts w:ascii="Times New Roman" w:hAnsi="Times New Roman"/>
          <w:color w:val="auto"/>
          <w:sz w:val="24"/>
          <w:szCs w:val="24"/>
          <w:highlight w:val="none"/>
        </w:rPr>
      </w:pPr>
      <w:r>
        <w:rPr>
          <w:rFonts w:ascii="Times New Roman" w:hAnsi="Times New Roman"/>
          <w:b/>
          <w:color w:val="auto"/>
          <w:sz w:val="24"/>
          <w:szCs w:val="24"/>
          <w:highlight w:val="none"/>
        </w:rPr>
        <w:t>30.3</w:t>
      </w:r>
      <w:r>
        <w:rPr>
          <w:rFonts w:hint="eastAsia" w:ascii="Times New Roman" w:hAnsi="Times New Roman"/>
          <w:b/>
          <w:color w:val="auto"/>
          <w:sz w:val="24"/>
          <w:szCs w:val="24"/>
          <w:highlight w:val="none"/>
        </w:rPr>
        <w:t>中标供应商应在接到通知后领取中标通知书，逾期不领取中标通知书的将视为放弃中标项目，按《政府采购货物与服务招标投标管理办法》（财政部第</w:t>
      </w:r>
      <w:r>
        <w:rPr>
          <w:rFonts w:ascii="Times New Roman" w:hAnsi="Times New Roman"/>
          <w:b/>
          <w:color w:val="auto"/>
          <w:sz w:val="24"/>
          <w:szCs w:val="24"/>
          <w:highlight w:val="none"/>
        </w:rPr>
        <w:t>87</w:t>
      </w:r>
      <w:r>
        <w:rPr>
          <w:rFonts w:hint="eastAsia" w:ascii="Times New Roman" w:hAnsi="Times New Roman"/>
          <w:b/>
          <w:color w:val="auto"/>
          <w:sz w:val="24"/>
          <w:szCs w:val="24"/>
          <w:highlight w:val="none"/>
        </w:rPr>
        <w:t>号令）第七十条和供应商须知第</w:t>
      </w:r>
      <w:r>
        <w:rPr>
          <w:rFonts w:ascii="Times New Roman" w:hAnsi="Times New Roman"/>
          <w:b/>
          <w:color w:val="auto"/>
          <w:sz w:val="24"/>
          <w:szCs w:val="24"/>
          <w:highlight w:val="none"/>
        </w:rPr>
        <w:t>15</w:t>
      </w:r>
      <w:r>
        <w:rPr>
          <w:rFonts w:hint="eastAsia" w:ascii="Times New Roman" w:hAnsi="Times New Roman"/>
          <w:b/>
          <w:color w:val="auto"/>
          <w:sz w:val="24"/>
          <w:szCs w:val="24"/>
          <w:highlight w:val="none"/>
        </w:rPr>
        <w:t>条的规定，对其进行相应处罚。</w:t>
      </w:r>
    </w:p>
    <w:p w14:paraId="043E6E82">
      <w:pPr>
        <w:keepNext/>
        <w:keepLines/>
        <w:spacing w:line="360" w:lineRule="auto"/>
        <w:jc w:val="left"/>
        <w:outlineLvl w:val="2"/>
        <w:rPr>
          <w:rFonts w:ascii="Times New Roman" w:hAnsi="Times New Roman"/>
          <w:b/>
          <w:bCs/>
          <w:color w:val="auto"/>
          <w:sz w:val="24"/>
          <w:szCs w:val="24"/>
          <w:highlight w:val="none"/>
        </w:rPr>
      </w:pPr>
      <w:bookmarkStart w:id="342" w:name="_Toc509822598"/>
      <w:bookmarkStart w:id="343" w:name="_Toc522288482"/>
      <w:bookmarkStart w:id="344" w:name="_Toc508113544"/>
      <w:bookmarkStart w:id="345" w:name="_Toc30705"/>
      <w:bookmarkStart w:id="346" w:name="_Toc517338618"/>
      <w:bookmarkStart w:id="347" w:name="_Toc479341589"/>
      <w:bookmarkStart w:id="348" w:name="_Toc151210147"/>
      <w:bookmarkStart w:id="349" w:name="_Toc113891935"/>
      <w:bookmarkStart w:id="350" w:name="_Toc176358355"/>
      <w:bookmarkStart w:id="351" w:name="_Toc170287304"/>
      <w:bookmarkStart w:id="352" w:name="_Toc113892447"/>
      <w:bookmarkStart w:id="353" w:name="_Toc170287652"/>
      <w:r>
        <w:rPr>
          <w:rFonts w:ascii="Times New Roman" w:hAnsi="Times New Roman"/>
          <w:b/>
          <w:bCs/>
          <w:color w:val="auto"/>
          <w:sz w:val="24"/>
          <w:szCs w:val="24"/>
          <w:highlight w:val="none"/>
        </w:rPr>
        <w:t>31</w:t>
      </w:r>
      <w:r>
        <w:rPr>
          <w:rFonts w:hint="eastAsia" w:ascii="Times New Roman" w:hAnsi="Times New Roman"/>
          <w:b/>
          <w:bCs/>
          <w:color w:val="auto"/>
          <w:sz w:val="24"/>
          <w:szCs w:val="24"/>
          <w:highlight w:val="none"/>
        </w:rPr>
        <w:t>、履约</w:t>
      </w:r>
      <w:bookmarkEnd w:id="342"/>
      <w:bookmarkEnd w:id="343"/>
      <w:bookmarkEnd w:id="344"/>
      <w:bookmarkEnd w:id="345"/>
      <w:bookmarkEnd w:id="346"/>
      <w:bookmarkEnd w:id="347"/>
      <w:r>
        <w:rPr>
          <w:rFonts w:hint="eastAsia" w:ascii="Times New Roman" w:hAnsi="Times New Roman"/>
          <w:b/>
          <w:bCs/>
          <w:color w:val="auto"/>
          <w:sz w:val="24"/>
          <w:szCs w:val="24"/>
          <w:highlight w:val="none"/>
        </w:rPr>
        <w:t>担保</w:t>
      </w:r>
      <w:bookmarkEnd w:id="348"/>
      <w:bookmarkEnd w:id="349"/>
      <w:bookmarkEnd w:id="350"/>
      <w:bookmarkEnd w:id="351"/>
      <w:bookmarkEnd w:id="352"/>
      <w:bookmarkEnd w:id="353"/>
    </w:p>
    <w:p w14:paraId="3B0EE78F">
      <w:pPr>
        <w:tabs>
          <w:tab w:val="left" w:pos="1080"/>
        </w:tabs>
        <w:spacing w:line="360" w:lineRule="auto"/>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31.1</w:t>
      </w:r>
      <w:r>
        <w:rPr>
          <w:rFonts w:hint="eastAsia" w:ascii="Times New Roman" w:hAnsi="Times New Roman"/>
          <w:color w:val="auto"/>
          <w:sz w:val="24"/>
          <w:szCs w:val="24"/>
          <w:highlight w:val="none"/>
        </w:rPr>
        <w:t>详见供应商须知前附表。</w:t>
      </w:r>
      <w:r>
        <w:rPr>
          <w:rFonts w:ascii="Times New Roman" w:hAnsi="Times New Roman"/>
          <w:color w:val="auto"/>
          <w:sz w:val="24"/>
          <w:szCs w:val="24"/>
          <w:highlight w:val="none"/>
        </w:rPr>
        <w:t xml:space="preserve"> </w:t>
      </w:r>
    </w:p>
    <w:p w14:paraId="44650421">
      <w:pPr>
        <w:keepNext/>
        <w:keepLines/>
        <w:spacing w:line="360" w:lineRule="auto"/>
        <w:jc w:val="left"/>
        <w:outlineLvl w:val="2"/>
        <w:rPr>
          <w:rFonts w:ascii="Times New Roman" w:hAnsi="Times New Roman"/>
          <w:b/>
          <w:bCs/>
          <w:color w:val="auto"/>
          <w:sz w:val="24"/>
          <w:szCs w:val="24"/>
          <w:highlight w:val="none"/>
        </w:rPr>
      </w:pPr>
      <w:bookmarkStart w:id="354" w:name="_Toc176358356"/>
      <w:bookmarkStart w:id="355" w:name="_Toc170287305"/>
      <w:bookmarkStart w:id="356" w:name="_Toc151210148"/>
      <w:bookmarkStart w:id="357" w:name="_Toc508113545"/>
      <w:bookmarkStart w:id="358" w:name="_Toc509822599"/>
      <w:bookmarkStart w:id="359" w:name="_Toc113892448"/>
      <w:bookmarkStart w:id="360" w:name="_Toc113891936"/>
      <w:bookmarkStart w:id="361" w:name="_Toc517338619"/>
      <w:bookmarkStart w:id="362" w:name="_Toc522288483"/>
      <w:bookmarkStart w:id="363" w:name="_Toc170287653"/>
      <w:bookmarkStart w:id="364" w:name="_Toc31162"/>
      <w:bookmarkStart w:id="365" w:name="_Toc479341590"/>
      <w:r>
        <w:rPr>
          <w:rFonts w:ascii="Times New Roman" w:hAnsi="Times New Roman"/>
          <w:b/>
          <w:bCs/>
          <w:color w:val="auto"/>
          <w:sz w:val="24"/>
          <w:szCs w:val="24"/>
          <w:highlight w:val="none"/>
        </w:rPr>
        <w:t>32</w:t>
      </w:r>
      <w:r>
        <w:rPr>
          <w:rFonts w:hint="eastAsia" w:ascii="Times New Roman" w:hAnsi="Times New Roman"/>
          <w:b/>
          <w:bCs/>
          <w:color w:val="auto"/>
          <w:sz w:val="24"/>
          <w:szCs w:val="24"/>
          <w:highlight w:val="none"/>
        </w:rPr>
        <w:t>、签订合同</w:t>
      </w:r>
      <w:bookmarkEnd w:id="354"/>
      <w:bookmarkEnd w:id="355"/>
      <w:bookmarkEnd w:id="356"/>
      <w:bookmarkEnd w:id="357"/>
      <w:bookmarkEnd w:id="358"/>
      <w:bookmarkEnd w:id="359"/>
      <w:bookmarkEnd w:id="360"/>
      <w:bookmarkEnd w:id="361"/>
      <w:bookmarkEnd w:id="362"/>
      <w:bookmarkEnd w:id="363"/>
      <w:bookmarkEnd w:id="364"/>
      <w:bookmarkEnd w:id="365"/>
    </w:p>
    <w:p w14:paraId="7078E94A">
      <w:pPr>
        <w:tabs>
          <w:tab w:val="left" w:pos="1080"/>
        </w:tabs>
        <w:spacing w:line="360" w:lineRule="auto"/>
        <w:ind w:firstLine="480" w:firstLineChars="200"/>
        <w:jc w:val="left"/>
        <w:rPr>
          <w:rFonts w:ascii="Times New Roman" w:hAnsi="Times New Roman"/>
          <w:color w:val="auto"/>
          <w:sz w:val="24"/>
          <w:szCs w:val="24"/>
          <w:highlight w:val="none"/>
        </w:rPr>
      </w:pPr>
      <w:bookmarkStart w:id="366" w:name="_Toc6872"/>
      <w:r>
        <w:rPr>
          <w:rFonts w:ascii="Times New Roman" w:hAnsi="Times New Roman"/>
          <w:color w:val="auto"/>
          <w:sz w:val="24"/>
          <w:szCs w:val="24"/>
          <w:highlight w:val="none"/>
        </w:rPr>
        <w:t>32.1</w:t>
      </w:r>
      <w:r>
        <w:rPr>
          <w:rFonts w:hint="eastAsia" w:ascii="Times New Roman" w:hAnsi="Times New Roman"/>
          <w:color w:val="auto"/>
          <w:sz w:val="24"/>
          <w:szCs w:val="24"/>
          <w:highlight w:val="none"/>
        </w:rPr>
        <w:t>按《三门峡市财政局关于市本级政府采购合同备案管理工作的通知》（三财购</w:t>
      </w:r>
      <w:r>
        <w:rPr>
          <w:rFonts w:ascii="Times New Roman" w:hAnsi="Times New Roman"/>
          <w:color w:val="auto"/>
          <w:sz w:val="24"/>
          <w:szCs w:val="24"/>
          <w:highlight w:val="none"/>
        </w:rPr>
        <w:t>[2021]9</w:t>
      </w:r>
      <w:r>
        <w:rPr>
          <w:rFonts w:hint="eastAsia" w:ascii="Times New Roman" w:hAnsi="Times New Roman"/>
          <w:color w:val="auto"/>
          <w:sz w:val="24"/>
          <w:szCs w:val="24"/>
          <w:highlight w:val="none"/>
        </w:rPr>
        <w:t>号）文要求，集中采购目录以外政府采购项目，原则上自中标通知书发出之日起</w:t>
      </w:r>
      <w:r>
        <w:rPr>
          <w:rFonts w:ascii="Times New Roman" w:hAnsi="Times New Roman"/>
          <w:color w:val="auto"/>
          <w:sz w:val="24"/>
          <w:szCs w:val="24"/>
          <w:highlight w:val="none"/>
        </w:rPr>
        <w:t>2</w:t>
      </w:r>
      <w:r>
        <w:rPr>
          <w:rFonts w:hint="eastAsia" w:ascii="Times New Roman" w:hAnsi="Times New Roman"/>
          <w:color w:val="auto"/>
          <w:sz w:val="24"/>
          <w:szCs w:val="24"/>
          <w:highlight w:val="none"/>
        </w:rPr>
        <w:t>个工作日内与中标（成交）供应商按照采购文件确定的事项与供应商签订政府采购合同。不得订立背离合同实质性内容的协议。中标供应商无正当理由拒签合同的，采购人取消其中标资格，给采购人造成损失的，中标供应商应当予以赔偿。</w:t>
      </w:r>
    </w:p>
    <w:p w14:paraId="4E71242A">
      <w:pPr>
        <w:tabs>
          <w:tab w:val="left" w:pos="1080"/>
        </w:tabs>
        <w:spacing w:line="360" w:lineRule="auto"/>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32.2</w:t>
      </w:r>
      <w:r>
        <w:rPr>
          <w:rFonts w:hint="eastAsia" w:ascii="Times New Roman" w:hAnsi="Times New Roman"/>
          <w:color w:val="auto"/>
          <w:sz w:val="24"/>
          <w:szCs w:val="24"/>
          <w:highlight w:val="none"/>
        </w:rPr>
        <w:t>发出中标通知书后，采购人无正当理由拒签合同的，给中标供应商造成损失的，应当予以赔偿。</w:t>
      </w:r>
      <w:r>
        <w:rPr>
          <w:rFonts w:ascii="Times New Roman" w:hAnsi="Times New Roman"/>
          <w:color w:val="auto"/>
          <w:sz w:val="24"/>
          <w:szCs w:val="24"/>
          <w:highlight w:val="none"/>
        </w:rPr>
        <w:t xml:space="preserve">  </w:t>
      </w:r>
    </w:p>
    <w:p w14:paraId="6DB00AB4">
      <w:pPr>
        <w:keepNext/>
        <w:keepLines/>
        <w:spacing w:line="360" w:lineRule="auto"/>
        <w:jc w:val="center"/>
        <w:outlineLvl w:val="1"/>
        <w:rPr>
          <w:rFonts w:ascii="Times New Roman" w:hAnsi="Times New Roman"/>
          <w:b/>
          <w:bCs/>
          <w:color w:val="auto"/>
          <w:sz w:val="24"/>
          <w:szCs w:val="24"/>
          <w:highlight w:val="none"/>
        </w:rPr>
      </w:pPr>
      <w:bookmarkStart w:id="367" w:name="_Toc96965843"/>
      <w:bookmarkStart w:id="368" w:name="_Toc40366835"/>
      <w:bookmarkStart w:id="369" w:name="_Toc24706"/>
      <w:bookmarkStart w:id="370" w:name="_Toc176358357"/>
      <w:bookmarkStart w:id="371" w:name="_Toc455080146"/>
      <w:r>
        <w:rPr>
          <w:rFonts w:hint="eastAsia" w:ascii="Times New Roman" w:hAnsi="Times New Roman"/>
          <w:b/>
          <w:bCs/>
          <w:color w:val="auto"/>
          <w:sz w:val="24"/>
          <w:szCs w:val="24"/>
          <w:highlight w:val="none"/>
        </w:rPr>
        <w:t>八、</w:t>
      </w:r>
      <w:bookmarkEnd w:id="367"/>
      <w:bookmarkEnd w:id="368"/>
      <w:bookmarkEnd w:id="369"/>
      <w:bookmarkEnd w:id="370"/>
      <w:bookmarkEnd w:id="371"/>
      <w:r>
        <w:rPr>
          <w:rFonts w:ascii="Times New Roman" w:hAnsi="Times New Roman"/>
          <w:b/>
          <w:color w:val="auto"/>
          <w:sz w:val="28"/>
          <w:szCs w:val="28"/>
          <w:highlight w:val="none"/>
        </w:rPr>
        <w:t>废标条件和招标方式变更</w:t>
      </w:r>
    </w:p>
    <w:p w14:paraId="47863D42">
      <w:pPr>
        <w:spacing w:line="500" w:lineRule="exact"/>
        <w:rPr>
          <w:rFonts w:ascii="Times New Roman" w:hAnsi="Times New Roman"/>
          <w:b/>
          <w:color w:val="auto"/>
          <w:sz w:val="24"/>
          <w:szCs w:val="24"/>
          <w:highlight w:val="none"/>
        </w:rPr>
      </w:pPr>
      <w:bookmarkStart w:id="372" w:name="_Toc113892450"/>
      <w:bookmarkStart w:id="373" w:name="_Toc113891938"/>
      <w:bookmarkStart w:id="374" w:name="_Toc16556"/>
      <w:bookmarkStart w:id="375" w:name="_Toc170287307"/>
      <w:bookmarkStart w:id="376" w:name="_Toc151210150"/>
      <w:bookmarkStart w:id="377" w:name="_Toc176358358"/>
      <w:bookmarkStart w:id="378" w:name="_Toc170287655"/>
      <w:r>
        <w:rPr>
          <w:rFonts w:ascii="Times New Roman" w:hAnsi="Times New Roman"/>
          <w:b/>
          <w:bCs/>
          <w:color w:val="auto"/>
          <w:sz w:val="24"/>
          <w:szCs w:val="24"/>
          <w:highlight w:val="none"/>
        </w:rPr>
        <w:t>33</w:t>
      </w:r>
      <w:r>
        <w:rPr>
          <w:rFonts w:hint="eastAsia" w:ascii="Times New Roman" w:hAnsi="Times New Roman"/>
          <w:b/>
          <w:bCs/>
          <w:color w:val="auto"/>
          <w:sz w:val="24"/>
          <w:szCs w:val="24"/>
          <w:highlight w:val="none"/>
        </w:rPr>
        <w:t>、</w:t>
      </w:r>
      <w:r>
        <w:rPr>
          <w:rFonts w:ascii="Times New Roman" w:hAnsi="Times New Roman"/>
          <w:b/>
          <w:bCs/>
          <w:color w:val="auto"/>
          <w:sz w:val="24"/>
          <w:szCs w:val="24"/>
          <w:highlight w:val="none"/>
        </w:rPr>
        <w:t xml:space="preserve"> </w:t>
      </w:r>
      <w:bookmarkEnd w:id="372"/>
      <w:bookmarkEnd w:id="373"/>
      <w:bookmarkEnd w:id="374"/>
      <w:bookmarkEnd w:id="375"/>
      <w:bookmarkEnd w:id="376"/>
      <w:bookmarkEnd w:id="377"/>
      <w:bookmarkEnd w:id="378"/>
      <w:r>
        <w:rPr>
          <w:rFonts w:ascii="Times New Roman" w:hAnsi="Times New Roman"/>
          <w:b/>
          <w:color w:val="auto"/>
          <w:sz w:val="24"/>
          <w:szCs w:val="24"/>
          <w:highlight w:val="none"/>
        </w:rPr>
        <w:t>废标条件</w:t>
      </w:r>
    </w:p>
    <w:p w14:paraId="660C9C21">
      <w:pPr>
        <w:spacing w:line="500" w:lineRule="exact"/>
        <w:ind w:firstLine="562"/>
        <w:rPr>
          <w:rFonts w:ascii="Times New Roman" w:hAnsi="Times New Roman"/>
          <w:bCs/>
          <w:color w:val="auto"/>
          <w:sz w:val="24"/>
          <w:szCs w:val="24"/>
          <w:highlight w:val="none"/>
        </w:rPr>
      </w:pPr>
      <w:r>
        <w:rPr>
          <w:rFonts w:ascii="Times New Roman" w:hAnsi="Times New Roman"/>
          <w:bCs/>
          <w:color w:val="auto"/>
          <w:sz w:val="24"/>
          <w:szCs w:val="24"/>
          <w:highlight w:val="none"/>
        </w:rPr>
        <w:t>33.1在招标采购中，出现下列情形之一的，将予以废标：</w:t>
      </w:r>
    </w:p>
    <w:p w14:paraId="5C44D3D8">
      <w:pPr>
        <w:spacing w:line="500" w:lineRule="exact"/>
        <w:ind w:firstLine="562"/>
        <w:rPr>
          <w:rFonts w:ascii="Times New Roman" w:hAnsi="Times New Roman"/>
          <w:bCs/>
          <w:color w:val="auto"/>
          <w:sz w:val="24"/>
          <w:szCs w:val="24"/>
          <w:highlight w:val="none"/>
        </w:rPr>
      </w:pPr>
      <w:r>
        <w:rPr>
          <w:rFonts w:ascii="Times New Roman" w:hAnsi="Times New Roman"/>
          <w:bCs/>
          <w:color w:val="auto"/>
          <w:sz w:val="24"/>
          <w:szCs w:val="24"/>
          <w:highlight w:val="none"/>
        </w:rPr>
        <w:t>（一）符合专业条件的供应商或者对招标文件作实质投标的供应商不足三家的；</w:t>
      </w:r>
    </w:p>
    <w:p w14:paraId="4138F93A">
      <w:pPr>
        <w:spacing w:line="500" w:lineRule="exact"/>
        <w:ind w:firstLine="562"/>
        <w:rPr>
          <w:rFonts w:ascii="Times New Roman" w:hAnsi="Times New Roman"/>
          <w:bCs/>
          <w:color w:val="auto"/>
          <w:sz w:val="24"/>
          <w:szCs w:val="24"/>
          <w:highlight w:val="none"/>
        </w:rPr>
      </w:pPr>
      <w:r>
        <w:rPr>
          <w:rFonts w:ascii="Times New Roman" w:hAnsi="Times New Roman"/>
          <w:bCs/>
          <w:color w:val="auto"/>
          <w:sz w:val="24"/>
          <w:szCs w:val="24"/>
          <w:highlight w:val="none"/>
        </w:rPr>
        <w:t>（二）出现影响采购公正的违法、违规行为的；</w:t>
      </w:r>
    </w:p>
    <w:p w14:paraId="29E3C6D1">
      <w:pPr>
        <w:spacing w:line="500" w:lineRule="exact"/>
        <w:ind w:firstLine="562"/>
        <w:rPr>
          <w:rFonts w:ascii="Times New Roman" w:hAnsi="Times New Roman"/>
          <w:bCs/>
          <w:color w:val="auto"/>
          <w:sz w:val="24"/>
          <w:szCs w:val="24"/>
          <w:highlight w:val="none"/>
        </w:rPr>
      </w:pPr>
      <w:r>
        <w:rPr>
          <w:rFonts w:ascii="Times New Roman" w:hAnsi="Times New Roman"/>
          <w:bCs/>
          <w:color w:val="auto"/>
          <w:sz w:val="24"/>
          <w:szCs w:val="24"/>
          <w:highlight w:val="none"/>
        </w:rPr>
        <w:t>（三）供应商的报价均超过了采购预算，采购人不能支付的；</w:t>
      </w:r>
    </w:p>
    <w:p w14:paraId="1799A5BD">
      <w:pPr>
        <w:spacing w:line="500" w:lineRule="exact"/>
        <w:ind w:firstLine="562"/>
        <w:rPr>
          <w:rFonts w:ascii="Times New Roman" w:hAnsi="Times New Roman"/>
          <w:bCs/>
          <w:color w:val="auto"/>
          <w:sz w:val="24"/>
          <w:szCs w:val="24"/>
          <w:highlight w:val="none"/>
        </w:rPr>
      </w:pPr>
      <w:r>
        <w:rPr>
          <w:rFonts w:ascii="Times New Roman" w:hAnsi="Times New Roman"/>
          <w:bCs/>
          <w:color w:val="auto"/>
          <w:sz w:val="24"/>
          <w:szCs w:val="24"/>
          <w:highlight w:val="none"/>
        </w:rPr>
        <w:t>（四）因重大变故，采购任务取消的。</w:t>
      </w:r>
    </w:p>
    <w:p w14:paraId="680135D8">
      <w:pPr>
        <w:spacing w:line="500" w:lineRule="exact"/>
        <w:ind w:firstLine="562"/>
        <w:rPr>
          <w:rFonts w:ascii="Times New Roman" w:hAnsi="Times New Roman"/>
          <w:bCs/>
          <w:color w:val="auto"/>
          <w:sz w:val="24"/>
          <w:szCs w:val="24"/>
          <w:highlight w:val="none"/>
        </w:rPr>
      </w:pPr>
      <w:bookmarkStart w:id="379" w:name="_Toc381295025"/>
      <w:bookmarkStart w:id="380" w:name="_Toc386032345"/>
      <w:r>
        <w:rPr>
          <w:rFonts w:ascii="Times New Roman" w:hAnsi="Times New Roman"/>
          <w:bCs/>
          <w:color w:val="auto"/>
          <w:sz w:val="24"/>
          <w:szCs w:val="24"/>
          <w:highlight w:val="none"/>
        </w:rPr>
        <w:t>33.2</w:t>
      </w:r>
      <w:bookmarkEnd w:id="379"/>
      <w:r>
        <w:rPr>
          <w:rFonts w:ascii="Times New Roman" w:hAnsi="Times New Roman"/>
          <w:bCs/>
          <w:color w:val="auto"/>
          <w:sz w:val="24"/>
          <w:szCs w:val="24"/>
          <w:highlight w:val="none"/>
        </w:rPr>
        <w:t>采购方式变更</w:t>
      </w:r>
      <w:bookmarkEnd w:id="380"/>
    </w:p>
    <w:p w14:paraId="7CA554F8">
      <w:pPr>
        <w:spacing w:line="500" w:lineRule="exact"/>
        <w:ind w:firstLine="562"/>
        <w:rPr>
          <w:rFonts w:ascii="Times New Roman" w:hAnsi="Times New Roman"/>
          <w:bCs/>
          <w:color w:val="auto"/>
          <w:sz w:val="24"/>
          <w:szCs w:val="24"/>
          <w:highlight w:val="none"/>
        </w:rPr>
      </w:pPr>
      <w:r>
        <w:rPr>
          <w:rFonts w:ascii="Times New Roman" w:hAnsi="Times New Roman"/>
          <w:bCs/>
          <w:color w:val="auto"/>
          <w:sz w:val="24"/>
          <w:szCs w:val="24"/>
          <w:highlight w:val="none"/>
        </w:rPr>
        <w:t>废标后，除采购任务取消情形外，将重新组织招标；或在采购活动开始前获得设区的市、自治州以上人民政府采购监督管理部门或者政府有关部门批准，采取其他方式采购。</w:t>
      </w:r>
    </w:p>
    <w:p w14:paraId="33AAD3EA">
      <w:pPr>
        <w:spacing w:line="360" w:lineRule="auto"/>
        <w:ind w:firstLine="566" w:firstLineChars="236"/>
        <w:rPr>
          <w:rFonts w:ascii="Times New Roman" w:hAnsi="Times New Roman"/>
          <w:color w:val="auto"/>
          <w:sz w:val="24"/>
          <w:szCs w:val="24"/>
          <w:highlight w:val="none"/>
        </w:rPr>
      </w:pPr>
    </w:p>
    <w:bookmarkEnd w:id="366"/>
    <w:p w14:paraId="2F849027">
      <w:pPr>
        <w:keepNext/>
        <w:keepLines/>
        <w:spacing w:line="360" w:lineRule="auto"/>
        <w:jc w:val="center"/>
        <w:outlineLvl w:val="1"/>
        <w:rPr>
          <w:rFonts w:ascii="Times New Roman" w:hAnsi="Times New Roman"/>
          <w:b/>
          <w:bCs/>
          <w:color w:val="auto"/>
          <w:sz w:val="24"/>
          <w:szCs w:val="24"/>
          <w:highlight w:val="none"/>
        </w:rPr>
      </w:pPr>
      <w:bookmarkStart w:id="381" w:name="_Toc517338623"/>
      <w:bookmarkStart w:id="382" w:name="_Toc113891939"/>
      <w:bookmarkStart w:id="383" w:name="_Toc525836317"/>
      <w:bookmarkStart w:id="384" w:name="_Toc508873154"/>
      <w:bookmarkStart w:id="385" w:name="_Toc479341594"/>
      <w:bookmarkStart w:id="386" w:name="_Toc508113549"/>
      <w:bookmarkStart w:id="387" w:name="_Toc454"/>
      <w:bookmarkStart w:id="388" w:name="_Toc176358359"/>
      <w:r>
        <w:rPr>
          <w:rFonts w:hint="eastAsia" w:ascii="Times New Roman" w:hAnsi="Times New Roman"/>
          <w:b/>
          <w:bCs/>
          <w:color w:val="auto"/>
          <w:sz w:val="24"/>
          <w:szCs w:val="24"/>
          <w:highlight w:val="none"/>
        </w:rPr>
        <w:t>九、纪律和监督</w:t>
      </w:r>
      <w:bookmarkEnd w:id="381"/>
      <w:bookmarkEnd w:id="382"/>
      <w:bookmarkEnd w:id="383"/>
      <w:bookmarkEnd w:id="384"/>
      <w:bookmarkEnd w:id="385"/>
      <w:bookmarkEnd w:id="386"/>
      <w:bookmarkEnd w:id="387"/>
      <w:bookmarkEnd w:id="388"/>
    </w:p>
    <w:p w14:paraId="1CCC670E">
      <w:pPr>
        <w:keepNext/>
        <w:keepLines/>
        <w:spacing w:line="360" w:lineRule="auto"/>
        <w:jc w:val="left"/>
        <w:outlineLvl w:val="2"/>
        <w:rPr>
          <w:rFonts w:ascii="Times New Roman" w:hAnsi="Times New Roman"/>
          <w:b/>
          <w:bCs/>
          <w:color w:val="auto"/>
          <w:sz w:val="24"/>
          <w:szCs w:val="24"/>
          <w:highlight w:val="none"/>
        </w:rPr>
      </w:pPr>
      <w:bookmarkStart w:id="389" w:name="_Toc508113550"/>
      <w:bookmarkStart w:id="390" w:name="_Toc170287309"/>
      <w:bookmarkStart w:id="391" w:name="_Toc10746"/>
      <w:bookmarkStart w:id="392" w:name="_Toc113891940"/>
      <w:bookmarkStart w:id="393" w:name="_Toc509822604"/>
      <w:bookmarkStart w:id="394" w:name="_Toc113892452"/>
      <w:bookmarkStart w:id="395" w:name="_Toc151210152"/>
      <w:bookmarkStart w:id="396" w:name="_Toc517338624"/>
      <w:bookmarkStart w:id="397" w:name="_Toc176358360"/>
      <w:bookmarkStart w:id="398" w:name="_Toc479341595"/>
      <w:bookmarkStart w:id="399" w:name="_Toc522288488"/>
      <w:bookmarkStart w:id="400" w:name="_Toc170287657"/>
      <w:r>
        <w:rPr>
          <w:rFonts w:ascii="Times New Roman" w:hAnsi="Times New Roman"/>
          <w:b/>
          <w:bCs/>
          <w:color w:val="auto"/>
          <w:sz w:val="24"/>
          <w:szCs w:val="24"/>
          <w:highlight w:val="none"/>
        </w:rPr>
        <w:t>34</w:t>
      </w:r>
      <w:r>
        <w:rPr>
          <w:rFonts w:hint="eastAsia" w:ascii="Times New Roman" w:hAnsi="Times New Roman"/>
          <w:b/>
          <w:bCs/>
          <w:color w:val="auto"/>
          <w:sz w:val="24"/>
          <w:szCs w:val="24"/>
          <w:highlight w:val="none"/>
        </w:rPr>
        <w:t>、对采购人的纪律要求</w:t>
      </w:r>
      <w:bookmarkEnd w:id="389"/>
      <w:bookmarkEnd w:id="390"/>
      <w:bookmarkEnd w:id="391"/>
      <w:bookmarkEnd w:id="392"/>
      <w:bookmarkEnd w:id="393"/>
      <w:bookmarkEnd w:id="394"/>
      <w:bookmarkEnd w:id="395"/>
      <w:bookmarkEnd w:id="396"/>
      <w:bookmarkEnd w:id="397"/>
      <w:bookmarkEnd w:id="398"/>
      <w:bookmarkEnd w:id="399"/>
      <w:bookmarkEnd w:id="400"/>
    </w:p>
    <w:p w14:paraId="6D42A909">
      <w:pPr>
        <w:spacing w:line="360" w:lineRule="auto"/>
        <w:ind w:firstLine="480" w:firstLineChars="20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采购人不得泄漏政府采购活动中应当保密的情况和资料，不得与投标供应商串通损害国家利益、社会公共利益或者他人合法权益。</w:t>
      </w:r>
    </w:p>
    <w:p w14:paraId="33A1C432">
      <w:pPr>
        <w:keepNext/>
        <w:keepLines/>
        <w:spacing w:line="360" w:lineRule="auto"/>
        <w:jc w:val="left"/>
        <w:outlineLvl w:val="2"/>
        <w:rPr>
          <w:rFonts w:ascii="Times New Roman" w:hAnsi="Times New Roman"/>
          <w:b/>
          <w:bCs/>
          <w:color w:val="auto"/>
          <w:sz w:val="24"/>
          <w:szCs w:val="24"/>
          <w:highlight w:val="none"/>
        </w:rPr>
      </w:pPr>
      <w:bookmarkStart w:id="401" w:name="_Toc170287310"/>
      <w:bookmarkStart w:id="402" w:name="_Toc113891941"/>
      <w:bookmarkStart w:id="403" w:name="_Toc508113551"/>
      <w:bookmarkStart w:id="404" w:name="_Toc113892453"/>
      <w:bookmarkStart w:id="405" w:name="_Toc479341596"/>
      <w:bookmarkStart w:id="406" w:name="_Toc176358361"/>
      <w:bookmarkStart w:id="407" w:name="_Toc29128"/>
      <w:bookmarkStart w:id="408" w:name="_Toc509822605"/>
      <w:bookmarkStart w:id="409" w:name="_Toc517338625"/>
      <w:bookmarkStart w:id="410" w:name="_Toc170287658"/>
      <w:bookmarkStart w:id="411" w:name="_Toc151210153"/>
      <w:bookmarkStart w:id="412" w:name="_Toc522288489"/>
      <w:r>
        <w:rPr>
          <w:rFonts w:ascii="Times New Roman" w:hAnsi="Times New Roman"/>
          <w:b/>
          <w:bCs/>
          <w:color w:val="auto"/>
          <w:sz w:val="24"/>
          <w:szCs w:val="24"/>
          <w:highlight w:val="none"/>
        </w:rPr>
        <w:t>35</w:t>
      </w:r>
      <w:r>
        <w:rPr>
          <w:rFonts w:hint="eastAsia" w:ascii="Times New Roman" w:hAnsi="Times New Roman"/>
          <w:b/>
          <w:bCs/>
          <w:color w:val="auto"/>
          <w:sz w:val="24"/>
          <w:szCs w:val="24"/>
          <w:highlight w:val="none"/>
        </w:rPr>
        <w:t>、对投标供应商的纪律要求</w:t>
      </w:r>
      <w:bookmarkEnd w:id="401"/>
      <w:bookmarkEnd w:id="402"/>
      <w:bookmarkEnd w:id="403"/>
      <w:bookmarkEnd w:id="404"/>
      <w:bookmarkEnd w:id="405"/>
      <w:bookmarkEnd w:id="406"/>
      <w:bookmarkEnd w:id="407"/>
      <w:bookmarkEnd w:id="408"/>
      <w:bookmarkEnd w:id="409"/>
      <w:bookmarkEnd w:id="410"/>
      <w:bookmarkEnd w:id="411"/>
      <w:bookmarkEnd w:id="412"/>
    </w:p>
    <w:p w14:paraId="4E28607D">
      <w:pPr>
        <w:spacing w:line="360" w:lineRule="auto"/>
        <w:ind w:firstLine="480" w:firstLineChars="20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投标供应商不得相互串通投标或者与采购人串通投标，不得向采购人或者评标委员会成员行贿谋取中标，不得以他人名义投标或者以其他方式弄虚作假骗取中标；投标供应商不得以任何方式干扰、影响评标工作。</w:t>
      </w:r>
    </w:p>
    <w:p w14:paraId="458316A7">
      <w:pPr>
        <w:keepNext/>
        <w:keepLines/>
        <w:spacing w:line="360" w:lineRule="auto"/>
        <w:jc w:val="left"/>
        <w:outlineLvl w:val="2"/>
        <w:rPr>
          <w:rFonts w:ascii="Times New Roman" w:hAnsi="Times New Roman"/>
          <w:b/>
          <w:bCs/>
          <w:color w:val="auto"/>
          <w:sz w:val="24"/>
          <w:szCs w:val="24"/>
          <w:highlight w:val="none"/>
        </w:rPr>
      </w:pPr>
      <w:bookmarkStart w:id="413" w:name="_Toc509822606"/>
      <w:bookmarkStart w:id="414" w:name="_Toc176358362"/>
      <w:bookmarkStart w:id="415" w:name="_Toc2316"/>
      <w:bookmarkStart w:id="416" w:name="_Toc113892454"/>
      <w:bookmarkStart w:id="417" w:name="_Toc170287659"/>
      <w:bookmarkStart w:id="418" w:name="_Toc113891942"/>
      <w:bookmarkStart w:id="419" w:name="_Toc151210154"/>
      <w:bookmarkStart w:id="420" w:name="_Toc522288490"/>
      <w:bookmarkStart w:id="421" w:name="_Toc508113552"/>
      <w:bookmarkStart w:id="422" w:name="_Toc170287311"/>
      <w:bookmarkStart w:id="423" w:name="_Toc479341597"/>
      <w:bookmarkStart w:id="424" w:name="_Toc517338626"/>
      <w:r>
        <w:rPr>
          <w:rFonts w:ascii="Times New Roman" w:hAnsi="Times New Roman"/>
          <w:b/>
          <w:bCs/>
          <w:color w:val="auto"/>
          <w:sz w:val="24"/>
          <w:szCs w:val="24"/>
          <w:highlight w:val="none"/>
        </w:rPr>
        <w:t>36</w:t>
      </w:r>
      <w:r>
        <w:rPr>
          <w:rFonts w:hint="eastAsia" w:ascii="Times New Roman" w:hAnsi="Times New Roman"/>
          <w:b/>
          <w:bCs/>
          <w:color w:val="auto"/>
          <w:sz w:val="24"/>
          <w:szCs w:val="24"/>
          <w:highlight w:val="none"/>
        </w:rPr>
        <w:t>、对评标委员会成员的纪律要求</w:t>
      </w:r>
      <w:bookmarkEnd w:id="413"/>
      <w:bookmarkEnd w:id="414"/>
      <w:bookmarkEnd w:id="415"/>
      <w:bookmarkEnd w:id="416"/>
      <w:bookmarkEnd w:id="417"/>
      <w:bookmarkEnd w:id="418"/>
      <w:bookmarkEnd w:id="419"/>
      <w:bookmarkEnd w:id="420"/>
      <w:bookmarkEnd w:id="421"/>
      <w:bookmarkEnd w:id="422"/>
      <w:bookmarkEnd w:id="423"/>
      <w:bookmarkEnd w:id="424"/>
    </w:p>
    <w:p w14:paraId="5B6C2E04">
      <w:pPr>
        <w:spacing w:line="360" w:lineRule="auto"/>
        <w:ind w:firstLine="480" w:firstLineChars="20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w:t>
      </w:r>
      <w:r>
        <w:rPr>
          <w:rFonts w:ascii="Times New Roman" w:hAnsi="Times New Roman"/>
          <w:color w:val="auto"/>
          <w:sz w:val="24"/>
          <w:szCs w:val="24"/>
          <w:highlight w:val="none"/>
        </w:rPr>
        <w:t>3</w:t>
      </w:r>
      <w:r>
        <w:rPr>
          <w:rFonts w:hint="eastAsia" w:ascii="Times New Roman" w:hAnsi="Times New Roman"/>
          <w:color w:val="auto"/>
          <w:sz w:val="24"/>
          <w:szCs w:val="24"/>
          <w:highlight w:val="none"/>
        </w:rPr>
        <w:t>章“评标办法”没有规定的评审因素和标准进行评标。</w:t>
      </w:r>
    </w:p>
    <w:p w14:paraId="2277D59F">
      <w:pPr>
        <w:keepNext/>
        <w:keepLines/>
        <w:spacing w:line="360" w:lineRule="auto"/>
        <w:jc w:val="left"/>
        <w:outlineLvl w:val="2"/>
        <w:rPr>
          <w:rFonts w:ascii="Times New Roman" w:hAnsi="Times New Roman"/>
          <w:b/>
          <w:bCs/>
          <w:color w:val="auto"/>
          <w:sz w:val="24"/>
          <w:szCs w:val="24"/>
          <w:highlight w:val="none"/>
        </w:rPr>
      </w:pPr>
      <w:bookmarkStart w:id="425" w:name="_Toc522288491"/>
      <w:bookmarkStart w:id="426" w:name="_Toc151210155"/>
      <w:bookmarkStart w:id="427" w:name="_Toc509822607"/>
      <w:bookmarkStart w:id="428" w:name="_Toc170287312"/>
      <w:bookmarkStart w:id="429" w:name="_Toc170287660"/>
      <w:bookmarkStart w:id="430" w:name="_Toc176358363"/>
      <w:bookmarkStart w:id="431" w:name="_Toc113891943"/>
      <w:bookmarkStart w:id="432" w:name="_Toc113892455"/>
      <w:bookmarkStart w:id="433" w:name="_Toc508113553"/>
      <w:bookmarkStart w:id="434" w:name="_Toc479341598"/>
      <w:bookmarkStart w:id="435" w:name="_Toc517338627"/>
      <w:bookmarkStart w:id="436" w:name="_Toc10087"/>
      <w:r>
        <w:rPr>
          <w:rFonts w:ascii="Times New Roman" w:hAnsi="Times New Roman"/>
          <w:b/>
          <w:bCs/>
          <w:color w:val="auto"/>
          <w:sz w:val="24"/>
          <w:szCs w:val="24"/>
          <w:highlight w:val="none"/>
        </w:rPr>
        <w:t>37</w:t>
      </w:r>
      <w:r>
        <w:rPr>
          <w:rFonts w:hint="eastAsia" w:ascii="Times New Roman" w:hAnsi="Times New Roman"/>
          <w:b/>
          <w:bCs/>
          <w:color w:val="auto"/>
          <w:sz w:val="24"/>
          <w:szCs w:val="24"/>
          <w:highlight w:val="none"/>
        </w:rPr>
        <w:t>、对与评标活动有关的工作人员的纪律要求</w:t>
      </w:r>
      <w:bookmarkEnd w:id="425"/>
      <w:bookmarkEnd w:id="426"/>
      <w:bookmarkEnd w:id="427"/>
      <w:bookmarkEnd w:id="428"/>
      <w:bookmarkEnd w:id="429"/>
      <w:bookmarkEnd w:id="430"/>
      <w:bookmarkEnd w:id="431"/>
      <w:bookmarkEnd w:id="432"/>
      <w:bookmarkEnd w:id="433"/>
      <w:bookmarkEnd w:id="434"/>
      <w:bookmarkEnd w:id="435"/>
      <w:bookmarkEnd w:id="436"/>
    </w:p>
    <w:p w14:paraId="458CE234">
      <w:pPr>
        <w:spacing w:line="360" w:lineRule="auto"/>
        <w:ind w:firstLine="480" w:firstLineChars="20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7CCFC79B">
      <w:pPr>
        <w:spacing w:line="500" w:lineRule="exact"/>
        <w:rPr>
          <w:rFonts w:ascii="Times New Roman" w:hAnsi="Times New Roman"/>
          <w:b/>
          <w:color w:val="auto"/>
          <w:sz w:val="24"/>
          <w:szCs w:val="24"/>
          <w:highlight w:val="none"/>
        </w:rPr>
      </w:pPr>
      <w:bookmarkStart w:id="437" w:name="_Toc176358364"/>
      <w:bookmarkStart w:id="438" w:name="_Toc151210156"/>
      <w:bookmarkStart w:id="439" w:name="_Toc170287313"/>
      <w:bookmarkStart w:id="440" w:name="_Toc113892456"/>
      <w:bookmarkStart w:id="441" w:name="_Toc113891944"/>
      <w:bookmarkStart w:id="442" w:name="_Toc170287661"/>
      <w:r>
        <w:rPr>
          <w:rFonts w:ascii="Times New Roman" w:hAnsi="Times New Roman"/>
          <w:b/>
          <w:color w:val="auto"/>
          <w:sz w:val="24"/>
          <w:szCs w:val="24"/>
          <w:highlight w:val="none"/>
        </w:rPr>
        <w:t>38.质疑</w:t>
      </w:r>
    </w:p>
    <w:p w14:paraId="5F34EA1F">
      <w:pPr>
        <w:snapToGrid w:val="0"/>
        <w:spacing w:line="520" w:lineRule="exact"/>
        <w:ind w:firstLine="6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38.1</w:t>
      </w:r>
      <w:r>
        <w:rPr>
          <w:rFonts w:hint="eastAsia" w:ascii="Times New Roman" w:hAnsi="Times New Roman"/>
          <w:color w:val="auto"/>
          <w:kern w:val="0"/>
          <w:sz w:val="24"/>
          <w:szCs w:val="24"/>
          <w:highlight w:val="none"/>
        </w:rPr>
        <w:t>招标文件的质疑及答复</w:t>
      </w:r>
    </w:p>
    <w:p w14:paraId="1746C428">
      <w:pPr>
        <w:snapToGrid w:val="0"/>
        <w:spacing w:line="520" w:lineRule="exact"/>
        <w:ind w:firstLine="6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38.1.1</w:t>
      </w:r>
      <w:r>
        <w:rPr>
          <w:rFonts w:hint="eastAsia" w:ascii="Times New Roman" w:hAnsi="Times New Roman"/>
          <w:color w:val="auto"/>
          <w:kern w:val="0"/>
          <w:sz w:val="24"/>
          <w:szCs w:val="24"/>
          <w:highlight w:val="none"/>
        </w:rPr>
        <w:t>潜在供应商已依法获取其可质疑的采购文件或者采购文件公告期限届满之日起</w:t>
      </w:r>
      <w:r>
        <w:rPr>
          <w:rFonts w:ascii="Times New Roman" w:hAnsi="Times New Roman"/>
          <w:color w:val="auto"/>
          <w:kern w:val="0"/>
          <w:sz w:val="24"/>
          <w:szCs w:val="24"/>
          <w:highlight w:val="none"/>
        </w:rPr>
        <w:t>7</w:t>
      </w:r>
      <w:r>
        <w:rPr>
          <w:rFonts w:hint="eastAsia" w:ascii="Times New Roman" w:hAnsi="Times New Roman"/>
          <w:color w:val="auto"/>
          <w:kern w:val="0"/>
          <w:sz w:val="24"/>
          <w:szCs w:val="24"/>
          <w:highlight w:val="none"/>
        </w:rPr>
        <w:t>个工作日内提出质疑的，应当以书面形式一次性向采购人、采购代理机构提出。采购代理机构应当在收到供应商的书面质疑后</w:t>
      </w:r>
      <w:r>
        <w:rPr>
          <w:rFonts w:ascii="Times New Roman" w:hAnsi="Times New Roman"/>
          <w:color w:val="auto"/>
          <w:kern w:val="0"/>
          <w:sz w:val="24"/>
          <w:szCs w:val="24"/>
          <w:highlight w:val="none"/>
        </w:rPr>
        <w:t>7</w:t>
      </w:r>
      <w:r>
        <w:rPr>
          <w:rFonts w:hint="eastAsia" w:ascii="Times New Roman" w:hAnsi="Times New Roman"/>
          <w:color w:val="auto"/>
          <w:kern w:val="0"/>
          <w:sz w:val="24"/>
          <w:szCs w:val="24"/>
          <w:highlight w:val="none"/>
        </w:rPr>
        <w:t>个工作日内作出答复，并以书面形式通知质疑供应商和其他有关供应商，但答复的内容不得涉及商业秘密。</w:t>
      </w:r>
    </w:p>
    <w:p w14:paraId="3F796521">
      <w:pPr>
        <w:snapToGrid w:val="0"/>
        <w:spacing w:line="520" w:lineRule="exact"/>
        <w:ind w:firstLine="6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38.1.2</w:t>
      </w:r>
      <w:r>
        <w:rPr>
          <w:rFonts w:hint="eastAsia" w:ascii="Times New Roman" w:hAnsi="Times New Roman"/>
          <w:color w:val="auto"/>
          <w:kern w:val="0"/>
          <w:sz w:val="24"/>
          <w:szCs w:val="24"/>
          <w:highlight w:val="none"/>
        </w:rPr>
        <w:t>对采购文件提出的质疑，采购人、采购代理机构认为供应商质疑不成立，或者成立但未对成交结果构成影响的，继续开展采购活动；认为供应商质疑成立且影响或者可能影响成交结果的，依法通过澄清或者修改可以继续开展采购活动的，澄清或者修改采购文件后继续开展采购活动；否则应当修改采购文件后重新开展采购活动。</w:t>
      </w:r>
    </w:p>
    <w:p w14:paraId="208D184F">
      <w:pPr>
        <w:snapToGrid w:val="0"/>
        <w:spacing w:line="520" w:lineRule="exact"/>
        <w:ind w:firstLine="600"/>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该澄清或者修改的内容为招标文件的组成部分。</w:t>
      </w:r>
    </w:p>
    <w:p w14:paraId="315D1D38">
      <w:pPr>
        <w:snapToGrid w:val="0"/>
        <w:spacing w:line="520" w:lineRule="exact"/>
        <w:ind w:firstLine="6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38.2</w:t>
      </w:r>
      <w:r>
        <w:rPr>
          <w:rFonts w:hint="eastAsia" w:ascii="Times New Roman" w:hAnsi="Times New Roman"/>
          <w:color w:val="auto"/>
          <w:kern w:val="0"/>
          <w:sz w:val="24"/>
          <w:szCs w:val="24"/>
          <w:highlight w:val="none"/>
        </w:rPr>
        <w:t>采购过程、成交结果的质疑及答复</w:t>
      </w:r>
    </w:p>
    <w:p w14:paraId="0A620351">
      <w:pPr>
        <w:snapToGrid w:val="0"/>
        <w:spacing w:line="520" w:lineRule="exact"/>
        <w:ind w:firstLine="6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38.2.1</w:t>
      </w:r>
      <w:r>
        <w:rPr>
          <w:rFonts w:hint="eastAsia" w:ascii="Times New Roman" w:hAnsi="Times New Roman"/>
          <w:color w:val="auto"/>
          <w:kern w:val="0"/>
          <w:sz w:val="24"/>
          <w:szCs w:val="24"/>
          <w:highlight w:val="none"/>
        </w:rPr>
        <w:t>参与本项目采购活动相应采购程序环节的供应商，认为采购过程或成交结果使自己的权益受到损害的，可以在知道或者应知其权益受到损害之日起七个工作日内，以书面形式一次性向采购人、采购代理机构提出针对该采购程序环节的质疑。</w:t>
      </w:r>
    </w:p>
    <w:p w14:paraId="65FD6DFC">
      <w:pPr>
        <w:snapToGrid w:val="0"/>
        <w:spacing w:line="520" w:lineRule="exact"/>
        <w:ind w:firstLine="6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38.2.2</w:t>
      </w:r>
      <w:r>
        <w:rPr>
          <w:rFonts w:hint="eastAsia" w:ascii="Times New Roman" w:hAnsi="Times New Roman"/>
          <w:color w:val="auto"/>
          <w:kern w:val="0"/>
          <w:sz w:val="24"/>
          <w:szCs w:val="24"/>
          <w:highlight w:val="none"/>
        </w:rPr>
        <w:t>采购人、采购代理机构应当在收到供应商的书面质疑后七个工作日内作出答复，并以书面形式通知质疑供应商和其他有关供应商，但答复的内容不得涉及商业秘密。采购人、采购代理机构认为供应商质疑不成立，或者成立但未对成交结果构成影响的，继续开展采购活动；认为供应商质疑成立且影响或者可能影响成交结果的，对采购过程、成交结果提出的质疑，合格供应商符合法定数量时，可以从合格的成交候选人中另行确定成交供应商的，应当依法另行确定成交供应商；否则应当重新开展采购活动。</w:t>
      </w:r>
    </w:p>
    <w:p w14:paraId="285B4CAA">
      <w:pPr>
        <w:snapToGrid w:val="0"/>
        <w:spacing w:line="520" w:lineRule="exact"/>
        <w:ind w:firstLine="480" w:firstLineChars="200"/>
        <w:jc w:val="lef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38.3</w:t>
      </w:r>
      <w:r>
        <w:rPr>
          <w:rFonts w:hint="eastAsia" w:ascii="Times New Roman" w:hAnsi="Times New Roman"/>
          <w:color w:val="auto"/>
          <w:kern w:val="0"/>
          <w:sz w:val="24"/>
          <w:szCs w:val="24"/>
          <w:highlight w:val="none"/>
        </w:rPr>
        <w:t>提出质疑的供应商符合《政府采购质疑和投诉办法》财政部令第</w:t>
      </w:r>
      <w:r>
        <w:rPr>
          <w:rFonts w:ascii="Times New Roman" w:hAnsi="Times New Roman"/>
          <w:color w:val="auto"/>
          <w:kern w:val="0"/>
          <w:sz w:val="24"/>
          <w:szCs w:val="24"/>
          <w:highlight w:val="none"/>
        </w:rPr>
        <w:t>94</w:t>
      </w:r>
      <w:r>
        <w:rPr>
          <w:rFonts w:hint="eastAsia" w:ascii="Times New Roman" w:hAnsi="Times New Roman"/>
          <w:color w:val="auto"/>
          <w:kern w:val="0"/>
          <w:sz w:val="24"/>
          <w:szCs w:val="24"/>
          <w:highlight w:val="none"/>
        </w:rPr>
        <w:t>号的相关规定（如对</w:t>
      </w:r>
      <w:r>
        <w:rPr>
          <w:rFonts w:hint="eastAsia" w:ascii="Times New Roman" w:hAnsi="Times New Roman"/>
          <w:color w:val="auto"/>
          <w:kern w:val="0"/>
          <w:sz w:val="24"/>
          <w:szCs w:val="24"/>
          <w:highlight w:val="none"/>
          <w:lang w:eastAsia="zh-CN"/>
        </w:rPr>
        <w:t>采购文件</w:t>
      </w:r>
      <w:r>
        <w:rPr>
          <w:rFonts w:hint="eastAsia" w:ascii="Times New Roman" w:hAnsi="Times New Roman"/>
          <w:color w:val="auto"/>
          <w:kern w:val="0"/>
          <w:sz w:val="24"/>
          <w:szCs w:val="24"/>
          <w:highlight w:val="none"/>
        </w:rPr>
        <w:t>提出质疑的，还须提供其在电子招标投标交易平台下载</w:t>
      </w:r>
      <w:r>
        <w:rPr>
          <w:rFonts w:hint="eastAsia" w:ascii="Times New Roman" w:hAnsi="Times New Roman"/>
          <w:color w:val="auto"/>
          <w:kern w:val="0"/>
          <w:sz w:val="24"/>
          <w:szCs w:val="24"/>
          <w:highlight w:val="none"/>
          <w:lang w:eastAsia="zh-CN"/>
        </w:rPr>
        <w:t>采购文件</w:t>
      </w:r>
      <w:r>
        <w:rPr>
          <w:rFonts w:hint="eastAsia" w:ascii="Times New Roman" w:hAnsi="Times New Roman"/>
          <w:color w:val="auto"/>
          <w:kern w:val="0"/>
          <w:sz w:val="24"/>
          <w:szCs w:val="24"/>
          <w:highlight w:val="none"/>
        </w:rPr>
        <w:t>成功的网页截图），方可提出质疑；否则，应承担对其不利的后果。</w:t>
      </w:r>
    </w:p>
    <w:p w14:paraId="54156327">
      <w:pPr>
        <w:spacing w:line="500" w:lineRule="exact"/>
        <w:ind w:firstLine="560"/>
        <w:rPr>
          <w:rFonts w:ascii="Times New Roman" w:hAnsi="Times New Roman"/>
          <w:b/>
          <w:bCs/>
          <w:color w:val="auto"/>
          <w:sz w:val="24"/>
          <w:szCs w:val="24"/>
          <w:highlight w:val="none"/>
        </w:rPr>
      </w:pPr>
      <w:r>
        <w:rPr>
          <w:rFonts w:hint="eastAsia" w:ascii="Times New Roman" w:hAnsi="Times New Roman"/>
          <w:b/>
          <w:bCs/>
          <w:color w:val="auto"/>
          <w:sz w:val="24"/>
          <w:szCs w:val="24"/>
          <w:highlight w:val="none"/>
        </w:rPr>
        <w:t>质疑接收：</w:t>
      </w:r>
    </w:p>
    <w:p w14:paraId="0A4D3A17">
      <w:pPr>
        <w:spacing w:line="500" w:lineRule="exact"/>
        <w:ind w:firstLine="560"/>
        <w:rPr>
          <w:rFonts w:ascii="Times New Roman" w:hAnsi="Times New Roman"/>
          <w:b/>
          <w:bCs/>
          <w:color w:val="auto"/>
          <w:sz w:val="24"/>
          <w:szCs w:val="24"/>
          <w:highlight w:val="none"/>
        </w:rPr>
      </w:pPr>
      <w:r>
        <w:rPr>
          <w:rFonts w:hint="eastAsia" w:ascii="Times New Roman" w:hAnsi="Times New Roman"/>
          <w:color w:val="auto"/>
          <w:sz w:val="24"/>
          <w:szCs w:val="24"/>
          <w:highlight w:val="none"/>
        </w:rPr>
        <w:t>接收质疑函的方式：在电子招标投标交易平台系统内进行，或者电子邮件、纸质文件（邮寄）及其他法律规定的书面形式。</w:t>
      </w:r>
    </w:p>
    <w:p w14:paraId="1085AFAC">
      <w:pPr>
        <w:keepNext/>
        <w:keepLines/>
        <w:spacing w:line="360" w:lineRule="auto"/>
        <w:jc w:val="left"/>
        <w:outlineLvl w:val="2"/>
        <w:rPr>
          <w:rFonts w:ascii="Times New Roman" w:hAnsi="Times New Roman"/>
          <w:b/>
          <w:bCs/>
          <w:color w:val="auto"/>
          <w:sz w:val="24"/>
          <w:szCs w:val="24"/>
          <w:highlight w:val="none"/>
        </w:rPr>
      </w:pPr>
      <w:r>
        <w:rPr>
          <w:rFonts w:ascii="Times New Roman" w:hAnsi="Times New Roman"/>
          <w:b/>
          <w:bCs/>
          <w:color w:val="auto"/>
          <w:sz w:val="24"/>
          <w:szCs w:val="24"/>
          <w:highlight w:val="none"/>
        </w:rPr>
        <w:t>39</w:t>
      </w:r>
      <w:r>
        <w:rPr>
          <w:rFonts w:hint="eastAsia" w:ascii="Times New Roman" w:hAnsi="Times New Roman"/>
          <w:b/>
          <w:bCs/>
          <w:color w:val="auto"/>
          <w:sz w:val="24"/>
          <w:szCs w:val="24"/>
          <w:highlight w:val="none"/>
        </w:rPr>
        <w:t>、投诉</w:t>
      </w:r>
      <w:bookmarkEnd w:id="437"/>
      <w:bookmarkEnd w:id="438"/>
      <w:bookmarkEnd w:id="439"/>
      <w:bookmarkEnd w:id="440"/>
      <w:bookmarkEnd w:id="441"/>
      <w:bookmarkEnd w:id="442"/>
    </w:p>
    <w:p w14:paraId="56C8FE03">
      <w:pPr>
        <w:spacing w:line="360" w:lineRule="auto"/>
        <w:ind w:firstLine="566" w:firstLineChars="236"/>
        <w:rPr>
          <w:rFonts w:ascii="Times New Roman" w:hAnsi="Times New Roman"/>
          <w:color w:val="auto"/>
          <w:sz w:val="24"/>
          <w:szCs w:val="24"/>
          <w:highlight w:val="none"/>
        </w:rPr>
      </w:pPr>
      <w:r>
        <w:rPr>
          <w:rFonts w:hint="eastAsia" w:ascii="Times New Roman" w:hAnsi="Times New Roman"/>
          <w:color w:val="auto"/>
          <w:sz w:val="24"/>
          <w:szCs w:val="24"/>
          <w:highlight w:val="none"/>
        </w:rPr>
        <w:t>供应商和其他利害关系人认为本次招标活动违反法律、法规和规章规定的，有权向有关行政监督部门投诉。</w:t>
      </w:r>
    </w:p>
    <w:p w14:paraId="203BBBDF">
      <w:pPr>
        <w:keepNext/>
        <w:keepLines/>
        <w:spacing w:line="360" w:lineRule="auto"/>
        <w:jc w:val="center"/>
        <w:outlineLvl w:val="1"/>
        <w:rPr>
          <w:rFonts w:ascii="Times New Roman" w:hAnsi="Times New Roman"/>
          <w:b/>
          <w:bCs/>
          <w:color w:val="auto"/>
          <w:sz w:val="24"/>
          <w:szCs w:val="24"/>
          <w:highlight w:val="none"/>
        </w:rPr>
      </w:pPr>
      <w:bookmarkStart w:id="443" w:name="_Toc176358365"/>
      <w:bookmarkStart w:id="444" w:name="_Toc525836318"/>
      <w:r>
        <w:rPr>
          <w:rFonts w:hint="eastAsia" w:ascii="Times New Roman" w:hAnsi="Times New Roman"/>
          <w:b/>
          <w:bCs/>
          <w:color w:val="auto"/>
          <w:sz w:val="24"/>
          <w:szCs w:val="24"/>
          <w:highlight w:val="none"/>
        </w:rPr>
        <w:t>十、需要补充的其他内容</w:t>
      </w:r>
      <w:bookmarkEnd w:id="443"/>
      <w:bookmarkEnd w:id="444"/>
    </w:p>
    <w:p w14:paraId="44E361FD">
      <w:pPr>
        <w:spacing w:line="360" w:lineRule="auto"/>
        <w:ind w:firstLine="480" w:firstLineChars="20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需要补充的其他内容：见供应商须知前附表。</w:t>
      </w:r>
    </w:p>
    <w:p w14:paraId="4A095089">
      <w:pPr>
        <w:spacing w:line="360" w:lineRule="auto"/>
        <w:ind w:firstLine="566" w:firstLineChars="236"/>
        <w:rPr>
          <w:rFonts w:ascii="Times New Roman" w:hAnsi="Times New Roman"/>
          <w:color w:val="auto"/>
          <w:sz w:val="24"/>
          <w:highlight w:val="none"/>
        </w:rPr>
      </w:pPr>
      <w:bookmarkStart w:id="445" w:name="_Toc108777068"/>
      <w:bookmarkStart w:id="446" w:name="_Toc176358366"/>
      <w:bookmarkStart w:id="447" w:name="_Toc108777131"/>
      <w:bookmarkStart w:id="448" w:name="_Toc108777256"/>
    </w:p>
    <w:p w14:paraId="5CC31B20">
      <w:pPr>
        <w:spacing w:line="360" w:lineRule="auto"/>
        <w:ind w:firstLine="566" w:firstLineChars="236"/>
        <w:rPr>
          <w:rFonts w:ascii="Times New Roman" w:hAnsi="Times New Roman"/>
          <w:color w:val="auto"/>
          <w:sz w:val="24"/>
          <w:highlight w:val="none"/>
        </w:rPr>
      </w:pPr>
    </w:p>
    <w:p w14:paraId="4AE311BB">
      <w:pPr>
        <w:spacing w:line="360" w:lineRule="auto"/>
        <w:ind w:firstLine="566" w:firstLineChars="236"/>
        <w:rPr>
          <w:rFonts w:ascii="Times New Roman" w:hAnsi="Times New Roman"/>
          <w:color w:val="auto"/>
          <w:sz w:val="24"/>
          <w:highlight w:val="none"/>
        </w:rPr>
      </w:pPr>
    </w:p>
    <w:p w14:paraId="298F1373">
      <w:pPr>
        <w:spacing w:line="360" w:lineRule="auto"/>
        <w:ind w:firstLine="602" w:firstLineChars="200"/>
        <w:jc w:val="center"/>
        <w:outlineLvl w:val="0"/>
        <w:rPr>
          <w:rFonts w:ascii="Times New Roman" w:hAnsi="Times New Roman"/>
          <w:b/>
          <w:bCs/>
          <w:color w:val="auto"/>
          <w:sz w:val="30"/>
          <w:szCs w:val="32"/>
          <w:highlight w:val="none"/>
          <w:shd w:val="clear" w:color="auto" w:fill="FFFFFF"/>
        </w:rPr>
        <w:sectPr>
          <w:footerReference r:id="rId11" w:type="first"/>
          <w:footerReference r:id="rId10" w:type="default"/>
          <w:pgSz w:w="11906" w:h="16838"/>
          <w:pgMar w:top="1440" w:right="1946" w:bottom="1440" w:left="1560" w:header="851" w:footer="737" w:gutter="0"/>
          <w:pgNumType w:start="1"/>
          <w:cols w:space="720" w:num="1"/>
          <w:titlePg/>
          <w:docGrid w:type="lines" w:linePitch="381" w:charSpace="0"/>
        </w:sectPr>
      </w:pPr>
    </w:p>
    <w:p w14:paraId="37D513A6">
      <w:pPr>
        <w:spacing w:line="360" w:lineRule="auto"/>
        <w:jc w:val="center"/>
        <w:outlineLvl w:val="0"/>
        <w:rPr>
          <w:rFonts w:ascii="Times New Roman" w:hAnsi="Times New Roman"/>
          <w:b/>
          <w:bCs/>
          <w:color w:val="auto"/>
          <w:sz w:val="30"/>
          <w:szCs w:val="32"/>
          <w:highlight w:val="none"/>
          <w:shd w:val="clear" w:color="auto" w:fill="FFFFFF"/>
        </w:rPr>
      </w:pPr>
      <w:r>
        <w:rPr>
          <w:rFonts w:hint="eastAsia" w:ascii="Times New Roman" w:hAnsi="Times New Roman"/>
          <w:b/>
          <w:bCs/>
          <w:color w:val="auto"/>
          <w:sz w:val="30"/>
          <w:szCs w:val="32"/>
          <w:highlight w:val="none"/>
          <w:shd w:val="clear" w:color="auto" w:fill="FFFFFF"/>
        </w:rPr>
        <w:t>第三章</w:t>
      </w:r>
      <w:r>
        <w:rPr>
          <w:rFonts w:ascii="Times New Roman" w:hAnsi="Times New Roman"/>
          <w:b/>
          <w:bCs/>
          <w:color w:val="auto"/>
          <w:sz w:val="30"/>
          <w:szCs w:val="32"/>
          <w:highlight w:val="none"/>
          <w:shd w:val="clear" w:color="auto" w:fill="FFFFFF"/>
        </w:rPr>
        <w:t xml:space="preserve">  </w:t>
      </w:r>
      <w:r>
        <w:rPr>
          <w:rFonts w:hint="eastAsia" w:ascii="Times New Roman" w:hAnsi="Times New Roman"/>
          <w:b/>
          <w:bCs/>
          <w:color w:val="auto"/>
          <w:sz w:val="30"/>
          <w:szCs w:val="32"/>
          <w:highlight w:val="none"/>
          <w:shd w:val="clear" w:color="auto" w:fill="FFFFFF"/>
        </w:rPr>
        <w:t>采购内容及参数要求</w:t>
      </w:r>
      <w:bookmarkEnd w:id="445"/>
      <w:bookmarkEnd w:id="446"/>
      <w:bookmarkEnd w:id="447"/>
      <w:bookmarkEnd w:id="448"/>
    </w:p>
    <w:p w14:paraId="06295FF4">
      <w:pPr>
        <w:spacing w:line="500" w:lineRule="exact"/>
        <w:ind w:firstLine="482" w:firstLineChars="200"/>
        <w:rPr>
          <w:rFonts w:ascii="Times New Roman" w:hAnsi="Times New Roman"/>
          <w:b/>
          <w:bCs/>
          <w:color w:val="auto"/>
          <w:sz w:val="24"/>
          <w:szCs w:val="24"/>
          <w:highlight w:val="none"/>
          <w:shd w:val="clear" w:color="auto" w:fill="FFFFFF"/>
          <w:lang w:bidi="ar"/>
        </w:rPr>
      </w:pPr>
      <w:r>
        <w:rPr>
          <w:rFonts w:hint="eastAsia" w:ascii="Times New Roman" w:hAnsi="Times New Roman"/>
          <w:b/>
          <w:bCs/>
          <w:color w:val="auto"/>
          <w:sz w:val="24"/>
          <w:szCs w:val="24"/>
          <w:highlight w:val="none"/>
          <w:shd w:val="clear" w:color="auto" w:fill="FFFFFF"/>
          <w:lang w:bidi="ar"/>
        </w:rPr>
        <w:t>一、项目概况</w:t>
      </w:r>
    </w:p>
    <w:p w14:paraId="7CA901B2">
      <w:pPr>
        <w:spacing w:line="500" w:lineRule="exact"/>
        <w:ind w:firstLine="560"/>
        <w:rPr>
          <w:rFonts w:ascii="Times New Roman" w:hAnsi="Times New Roman"/>
          <w:color w:val="auto"/>
          <w:sz w:val="24"/>
          <w:szCs w:val="24"/>
          <w:highlight w:val="none"/>
        </w:rPr>
      </w:pPr>
      <w:r>
        <w:rPr>
          <w:rFonts w:hint="eastAsia" w:ascii="Times New Roman" w:hAnsi="Times New Roman"/>
          <w:color w:val="auto"/>
          <w:sz w:val="24"/>
          <w:szCs w:val="24"/>
          <w:highlight w:val="none"/>
        </w:rPr>
        <w:t>灵宝市气象局灵宝市气象业务能力提升工程X波段相控阵天气雷达采购项目，包含1套X波段相控阵天气雷达系统、数据处理存储显示系统及塔下方舱内相关配套设备以及附属设备安装与调试。</w:t>
      </w:r>
    </w:p>
    <w:p w14:paraId="14185BD8">
      <w:pPr>
        <w:widowControl/>
        <w:spacing w:line="500" w:lineRule="exact"/>
        <w:ind w:firstLine="482" w:firstLineChars="200"/>
        <w:jc w:val="left"/>
        <w:rPr>
          <w:color w:val="auto"/>
          <w:highlight w:val="none"/>
        </w:rPr>
      </w:pPr>
      <w:r>
        <w:rPr>
          <w:rFonts w:hint="eastAsia" w:ascii="宋体" w:hAnsi="宋体" w:cs="宋体"/>
          <w:b/>
          <w:bCs/>
          <w:color w:val="auto"/>
          <w:kern w:val="0"/>
          <w:sz w:val="24"/>
          <w:szCs w:val="24"/>
          <w:highlight w:val="none"/>
          <w:lang w:bidi="ar"/>
        </w:rPr>
        <w:t>★本项目核心产品为：序号1 “X波段相控阵天气雷达系统”；</w:t>
      </w:r>
    </w:p>
    <w:p w14:paraId="0BAD4051">
      <w:pPr>
        <w:widowControl/>
        <w:spacing w:line="500" w:lineRule="exact"/>
        <w:ind w:firstLine="482" w:firstLineChars="200"/>
        <w:jc w:val="left"/>
        <w:rPr>
          <w:color w:val="auto"/>
          <w:highlight w:val="none"/>
        </w:rPr>
      </w:pPr>
      <w:r>
        <w:rPr>
          <w:rFonts w:hint="eastAsia" w:ascii="宋体" w:hAnsi="宋体" w:cs="宋体"/>
          <w:b/>
          <w:bCs/>
          <w:color w:val="auto"/>
          <w:kern w:val="0"/>
          <w:sz w:val="24"/>
          <w:szCs w:val="24"/>
          <w:highlight w:val="none"/>
          <w:lang w:bidi="ar"/>
        </w:rPr>
        <w:t>本采购清单中所列技术规格或主要参数为最低要求，不允许负偏离，否则将承担其投标被视为非实质性响应投标的风险。</w:t>
      </w:r>
    </w:p>
    <w:p w14:paraId="4FD94A33">
      <w:pPr>
        <w:spacing w:line="500" w:lineRule="exact"/>
        <w:ind w:firstLine="482" w:firstLineChars="200"/>
        <w:rPr>
          <w:rFonts w:ascii="Times New Roman" w:hAnsi="Times New Roman"/>
          <w:b/>
          <w:bCs/>
          <w:color w:val="auto"/>
          <w:sz w:val="24"/>
          <w:szCs w:val="24"/>
          <w:highlight w:val="none"/>
          <w:shd w:val="clear" w:color="auto" w:fill="FFFFFF"/>
          <w:lang w:bidi="ar"/>
        </w:rPr>
      </w:pPr>
      <w:r>
        <w:rPr>
          <w:rFonts w:hint="eastAsia" w:ascii="Times New Roman" w:hAnsi="Times New Roman"/>
          <w:b/>
          <w:bCs/>
          <w:color w:val="auto"/>
          <w:sz w:val="24"/>
          <w:szCs w:val="24"/>
          <w:highlight w:val="none"/>
          <w:shd w:val="clear" w:color="auto" w:fill="FFFFFF"/>
          <w:lang w:bidi="ar"/>
        </w:rPr>
        <w:t>二、商务要求</w:t>
      </w:r>
    </w:p>
    <w:p w14:paraId="31FE6C99">
      <w:pPr>
        <w:widowControl/>
        <w:spacing w:line="500" w:lineRule="exact"/>
        <w:ind w:firstLine="480" w:firstLineChars="200"/>
        <w:jc w:val="left"/>
        <w:rPr>
          <w:color w:val="auto"/>
          <w:highlight w:val="none"/>
        </w:rPr>
      </w:pPr>
      <w:r>
        <w:rPr>
          <w:rFonts w:hint="eastAsia" w:ascii="宋体" w:hAnsi="宋体" w:cs="宋体"/>
          <w:color w:val="auto"/>
          <w:kern w:val="0"/>
          <w:sz w:val="24"/>
          <w:szCs w:val="24"/>
          <w:highlight w:val="none"/>
          <w:lang w:bidi="ar"/>
        </w:rPr>
        <w:t>1、交付（实施）时间（期限）：</w:t>
      </w:r>
      <w:r>
        <w:rPr>
          <w:rFonts w:hint="eastAsia" w:ascii="宋体" w:hAnsi="宋体" w:cs="宋体"/>
          <w:color w:val="auto"/>
          <w:kern w:val="0"/>
          <w:sz w:val="24"/>
          <w:szCs w:val="24"/>
          <w:highlight w:val="none"/>
          <w:lang w:eastAsia="zh-CN" w:bidi="ar"/>
        </w:rPr>
        <w:t>合同签订之日起1年</w:t>
      </w:r>
      <w:r>
        <w:rPr>
          <w:rFonts w:hint="eastAsia" w:ascii="宋体" w:hAnsi="宋体" w:cs="宋体"/>
          <w:color w:val="auto"/>
          <w:kern w:val="0"/>
          <w:sz w:val="24"/>
          <w:szCs w:val="24"/>
          <w:highlight w:val="none"/>
          <w:lang w:bidi="ar"/>
        </w:rPr>
        <w:t>。</w:t>
      </w:r>
    </w:p>
    <w:p w14:paraId="2C947115">
      <w:pPr>
        <w:widowControl/>
        <w:spacing w:line="500" w:lineRule="exact"/>
        <w:ind w:firstLine="480" w:firstLineChars="200"/>
        <w:jc w:val="left"/>
        <w:rPr>
          <w:color w:val="auto"/>
          <w:highlight w:val="none"/>
        </w:rPr>
      </w:pPr>
      <w:r>
        <w:rPr>
          <w:rFonts w:hint="eastAsia" w:ascii="宋体" w:hAnsi="宋体" w:cs="宋体"/>
          <w:color w:val="auto"/>
          <w:kern w:val="0"/>
          <w:sz w:val="24"/>
          <w:szCs w:val="24"/>
          <w:highlight w:val="none"/>
          <w:lang w:bidi="ar"/>
        </w:rPr>
        <w:t>2、交付（实施）地点（范围）：采购人指定地点。</w:t>
      </w:r>
    </w:p>
    <w:p w14:paraId="732B9A2C">
      <w:pPr>
        <w:widowControl/>
        <w:spacing w:line="500" w:lineRule="exact"/>
        <w:ind w:firstLine="480" w:firstLineChars="200"/>
        <w:jc w:val="left"/>
        <w:rPr>
          <w:color w:val="auto"/>
          <w:highlight w:val="none"/>
        </w:rPr>
      </w:pPr>
      <w:r>
        <w:rPr>
          <w:rFonts w:hint="eastAsia" w:ascii="宋体" w:hAnsi="宋体" w:cs="宋体"/>
          <w:color w:val="auto"/>
          <w:kern w:val="0"/>
          <w:sz w:val="24"/>
          <w:szCs w:val="24"/>
          <w:highlight w:val="none"/>
          <w:lang w:bidi="ar"/>
        </w:rPr>
        <w:t>3、包装和运输</w:t>
      </w:r>
    </w:p>
    <w:p w14:paraId="6FEA46DD">
      <w:pPr>
        <w:widowControl/>
        <w:spacing w:line="500" w:lineRule="exact"/>
        <w:ind w:firstLine="480" w:firstLineChars="200"/>
        <w:jc w:val="left"/>
        <w:rPr>
          <w:color w:val="auto"/>
          <w:highlight w:val="none"/>
        </w:rPr>
      </w:pPr>
      <w:r>
        <w:rPr>
          <w:rFonts w:hint="eastAsia" w:ascii="宋体" w:hAnsi="宋体" w:cs="宋体"/>
          <w:color w:val="auto"/>
          <w:kern w:val="0"/>
          <w:sz w:val="24"/>
          <w:szCs w:val="24"/>
          <w:highlight w:val="none"/>
          <w:lang w:bidi="ar"/>
        </w:rPr>
        <w:t>涉及商品包装和快递包装的项目，投标人提供产品及相关快递服务的具体包装要求和履约验收相关条款应符合财政部办公厅生态环境部办公厅国家邮政局办公室关于印发《商品包装政府采购需求标准（试行）》、《快递包装政府采购需求标准（试行）》的通知（财办库〔2020〕123号）的规定。</w:t>
      </w:r>
    </w:p>
    <w:p w14:paraId="4B0EF73D">
      <w:pPr>
        <w:widowControl/>
        <w:spacing w:line="500" w:lineRule="exact"/>
        <w:ind w:firstLine="480" w:firstLineChars="200"/>
        <w:jc w:val="left"/>
        <w:rPr>
          <w:color w:val="auto"/>
          <w:highlight w:val="none"/>
        </w:rPr>
      </w:pPr>
      <w:r>
        <w:rPr>
          <w:rFonts w:hint="eastAsia" w:ascii="宋体" w:hAnsi="宋体" w:cs="宋体"/>
          <w:color w:val="auto"/>
          <w:kern w:val="0"/>
          <w:sz w:val="24"/>
          <w:szCs w:val="24"/>
          <w:highlight w:val="none"/>
          <w:lang w:bidi="ar"/>
        </w:rPr>
        <w:t>4、售后服务（除投标人自行编制的售后服务外，投标文件中还须对以下内容做出响应）</w:t>
      </w:r>
    </w:p>
    <w:p w14:paraId="0C44F9F6">
      <w:pPr>
        <w:widowControl/>
        <w:spacing w:line="500" w:lineRule="exact"/>
        <w:ind w:firstLine="480" w:firstLineChars="200"/>
        <w:jc w:val="left"/>
        <w:rPr>
          <w:color w:val="auto"/>
          <w:highlight w:val="none"/>
        </w:rPr>
      </w:pPr>
      <w:r>
        <w:rPr>
          <w:rFonts w:hint="eastAsia" w:ascii="宋体" w:hAnsi="宋体" w:cs="宋体"/>
          <w:color w:val="auto"/>
          <w:kern w:val="0"/>
          <w:sz w:val="24"/>
          <w:szCs w:val="24"/>
          <w:highlight w:val="none"/>
          <w:lang w:bidi="ar"/>
        </w:rPr>
        <w:t>4.1免费质保期内，非人为原因造成的设备故障，投标人须免费维修或更换设备或部件，直至恢复设备正常性能，此间发生的一切费用由中标人自行承担。</w:t>
      </w:r>
    </w:p>
    <w:p w14:paraId="3603F40D">
      <w:pPr>
        <w:widowControl/>
        <w:spacing w:line="500" w:lineRule="exact"/>
        <w:ind w:firstLine="480" w:firstLineChars="200"/>
        <w:jc w:val="left"/>
        <w:rPr>
          <w:color w:val="auto"/>
          <w:highlight w:val="none"/>
        </w:rPr>
      </w:pPr>
      <w:r>
        <w:rPr>
          <w:rFonts w:hint="eastAsia" w:ascii="宋体" w:hAnsi="宋体" w:cs="宋体"/>
          <w:color w:val="auto"/>
          <w:kern w:val="0"/>
          <w:sz w:val="24"/>
          <w:szCs w:val="24"/>
          <w:highlight w:val="none"/>
          <w:lang w:bidi="ar"/>
        </w:rPr>
        <w:t>4.2提供售后服务机构情况，包括地址、技术人员及联系方式，售后技术人员力量、设备实力等。</w:t>
      </w:r>
    </w:p>
    <w:p w14:paraId="7159FF95">
      <w:pPr>
        <w:widowControl/>
        <w:spacing w:line="500" w:lineRule="exact"/>
        <w:ind w:firstLine="480" w:firstLineChars="200"/>
        <w:jc w:val="left"/>
        <w:rPr>
          <w:color w:val="auto"/>
          <w:highlight w:val="none"/>
        </w:rPr>
      </w:pPr>
      <w:r>
        <w:rPr>
          <w:rFonts w:hint="eastAsia" w:ascii="宋体" w:hAnsi="宋体" w:cs="宋体"/>
          <w:color w:val="auto"/>
          <w:kern w:val="0"/>
          <w:sz w:val="24"/>
          <w:szCs w:val="24"/>
          <w:highlight w:val="none"/>
          <w:lang w:bidi="ar"/>
        </w:rPr>
        <w:t>4.3质保期内（以本项目系统验收合格之日算起）应当为招标人提供以下技术支持和服务：</w:t>
      </w:r>
    </w:p>
    <w:p w14:paraId="59503CCF">
      <w:pPr>
        <w:widowControl/>
        <w:spacing w:line="500" w:lineRule="exact"/>
        <w:ind w:firstLine="480" w:firstLineChars="200"/>
        <w:jc w:val="left"/>
        <w:rPr>
          <w:color w:val="auto"/>
          <w:highlight w:val="none"/>
        </w:rPr>
      </w:pPr>
      <w:r>
        <w:rPr>
          <w:rFonts w:hint="eastAsia" w:ascii="宋体" w:hAnsi="宋体" w:cs="宋体"/>
          <w:color w:val="auto"/>
          <w:kern w:val="0"/>
          <w:sz w:val="24"/>
          <w:szCs w:val="24"/>
          <w:highlight w:val="none"/>
          <w:lang w:bidi="ar"/>
        </w:rPr>
        <w:t>（1）电话咨询。投标人或制造商应当为招标人提供技术援助电话，解答招标人在使用中遇到的问题，及时为招标人提出解决问题的建议和办法。</w:t>
      </w:r>
    </w:p>
    <w:p w14:paraId="7E069B67">
      <w:pPr>
        <w:widowControl/>
        <w:spacing w:line="500" w:lineRule="exact"/>
        <w:ind w:firstLine="480" w:firstLineChars="200"/>
        <w:jc w:val="left"/>
        <w:rPr>
          <w:color w:val="auto"/>
          <w:highlight w:val="none"/>
        </w:rPr>
      </w:pPr>
      <w:r>
        <w:rPr>
          <w:rFonts w:hint="eastAsia" w:ascii="宋体" w:hAnsi="宋体" w:cs="宋体"/>
          <w:color w:val="auto"/>
          <w:kern w:val="0"/>
          <w:sz w:val="24"/>
          <w:szCs w:val="24"/>
          <w:highlight w:val="none"/>
          <w:lang w:bidi="ar"/>
        </w:rPr>
        <w:t>（2）现场响应。招标人遇到使用及技术问题，电话咨询不能解决的，投标人或制造商售后应在24小时内到达现场进行处理，确保设备系统正常工作；无法在48小时内解决的，应在7天内提供备用产品，使招标人能够正常使用。</w:t>
      </w:r>
    </w:p>
    <w:p w14:paraId="430AAF44">
      <w:pPr>
        <w:widowControl/>
        <w:spacing w:line="500" w:lineRule="exact"/>
        <w:ind w:firstLine="480" w:firstLineChars="200"/>
        <w:jc w:val="left"/>
        <w:rPr>
          <w:color w:val="auto"/>
          <w:highlight w:val="none"/>
        </w:rPr>
      </w:pPr>
      <w:r>
        <w:rPr>
          <w:rFonts w:hint="eastAsia" w:ascii="宋体" w:hAnsi="宋体" w:cs="宋体"/>
          <w:color w:val="auto"/>
          <w:kern w:val="0"/>
          <w:sz w:val="24"/>
          <w:szCs w:val="24"/>
          <w:highlight w:val="none"/>
          <w:lang w:bidi="ar"/>
        </w:rPr>
        <w:t>（3）投标人应当定期对所供设备运行情况进行检测，消除故障隐患，以保证设备的正常运行。</w:t>
      </w:r>
    </w:p>
    <w:p w14:paraId="71B8A185">
      <w:pPr>
        <w:widowControl/>
        <w:spacing w:line="500" w:lineRule="exact"/>
        <w:ind w:firstLine="480" w:firstLineChars="200"/>
        <w:jc w:val="left"/>
        <w:rPr>
          <w:color w:val="auto"/>
          <w:highlight w:val="none"/>
        </w:rPr>
      </w:pPr>
      <w:r>
        <w:rPr>
          <w:rFonts w:hint="eastAsia" w:ascii="宋体" w:hAnsi="宋体" w:cs="宋体"/>
          <w:color w:val="auto"/>
          <w:kern w:val="0"/>
          <w:sz w:val="24"/>
          <w:szCs w:val="24"/>
          <w:highlight w:val="none"/>
          <w:lang w:bidi="ar"/>
        </w:rPr>
        <w:t>（4）技术升级。在质保期内，如果制造商的产品技术升级，中标人应及时通知招标人，如招标人有相应要求，中标人和制造商应对招标人购买的产品进行免费升级服务或优惠价格的有偿升级服务。</w:t>
      </w:r>
    </w:p>
    <w:p w14:paraId="3EC81841">
      <w:pPr>
        <w:widowControl/>
        <w:spacing w:line="500" w:lineRule="exact"/>
        <w:ind w:firstLine="480" w:firstLineChars="200"/>
        <w:jc w:val="left"/>
        <w:rPr>
          <w:color w:val="auto"/>
          <w:highlight w:val="none"/>
        </w:rPr>
      </w:pPr>
      <w:r>
        <w:rPr>
          <w:rFonts w:hint="eastAsia" w:ascii="宋体" w:hAnsi="宋体" w:cs="宋体"/>
          <w:color w:val="auto"/>
          <w:kern w:val="0"/>
          <w:sz w:val="24"/>
          <w:szCs w:val="24"/>
          <w:highlight w:val="none"/>
          <w:lang w:bidi="ar"/>
        </w:rPr>
        <w:t>4.4质保期后应当为招标人提供以下技术支持和服务：</w:t>
      </w:r>
    </w:p>
    <w:p w14:paraId="1FE1E7A4">
      <w:pPr>
        <w:widowControl/>
        <w:spacing w:line="500" w:lineRule="exact"/>
        <w:ind w:firstLine="480" w:firstLineChars="200"/>
        <w:jc w:val="left"/>
        <w:rPr>
          <w:color w:val="auto"/>
          <w:highlight w:val="none"/>
        </w:rPr>
      </w:pPr>
      <w:r>
        <w:rPr>
          <w:rFonts w:hint="eastAsia" w:ascii="宋体" w:hAnsi="宋体" w:cs="宋体"/>
          <w:color w:val="auto"/>
          <w:kern w:val="0"/>
          <w:sz w:val="24"/>
          <w:szCs w:val="24"/>
          <w:highlight w:val="none"/>
          <w:lang w:bidi="ar"/>
        </w:rPr>
        <w:t>（1）应同样提供免费电话咨询服务，并应承诺优惠价格有偿提供产品上门维护服务。</w:t>
      </w:r>
    </w:p>
    <w:p w14:paraId="77C5C922">
      <w:pPr>
        <w:widowControl/>
        <w:spacing w:line="500" w:lineRule="exact"/>
        <w:ind w:firstLine="480" w:firstLineChars="200"/>
        <w:jc w:val="left"/>
        <w:rPr>
          <w:color w:val="auto"/>
          <w:highlight w:val="none"/>
        </w:rPr>
      </w:pPr>
      <w:r>
        <w:rPr>
          <w:rFonts w:hint="eastAsia" w:ascii="宋体" w:hAnsi="宋体" w:cs="宋体"/>
          <w:color w:val="auto"/>
          <w:kern w:val="0"/>
          <w:sz w:val="24"/>
          <w:szCs w:val="24"/>
          <w:highlight w:val="none"/>
          <w:lang w:bidi="ar"/>
        </w:rPr>
        <w:t>（2）应以优惠价格继续提供售后服务。</w:t>
      </w:r>
    </w:p>
    <w:p w14:paraId="70958A28">
      <w:pPr>
        <w:widowControl/>
        <w:spacing w:line="500" w:lineRule="exact"/>
        <w:ind w:firstLine="480" w:firstLineChars="200"/>
        <w:jc w:val="left"/>
        <w:rPr>
          <w:color w:val="auto"/>
          <w:highlight w:val="none"/>
        </w:rPr>
      </w:pPr>
      <w:r>
        <w:rPr>
          <w:rFonts w:hint="eastAsia" w:ascii="宋体" w:hAnsi="宋体" w:cs="宋体"/>
          <w:color w:val="auto"/>
          <w:kern w:val="0"/>
          <w:sz w:val="24"/>
          <w:szCs w:val="24"/>
          <w:highlight w:val="none"/>
          <w:lang w:bidi="ar"/>
        </w:rPr>
        <w:t>5、保险</w:t>
      </w:r>
    </w:p>
    <w:p w14:paraId="763B910B">
      <w:pPr>
        <w:widowControl/>
        <w:spacing w:line="500" w:lineRule="exact"/>
        <w:ind w:firstLine="480" w:firstLineChars="200"/>
        <w:jc w:val="left"/>
        <w:rPr>
          <w:color w:val="auto"/>
          <w:highlight w:val="none"/>
        </w:rPr>
      </w:pPr>
      <w:r>
        <w:rPr>
          <w:rFonts w:hint="eastAsia" w:ascii="宋体" w:hAnsi="宋体" w:cs="宋体"/>
          <w:color w:val="auto"/>
          <w:kern w:val="0"/>
          <w:sz w:val="24"/>
          <w:szCs w:val="24"/>
          <w:highlight w:val="none"/>
          <w:lang w:bidi="ar"/>
        </w:rPr>
        <w:t>中标人在项目实施过程中直至验收之前所发生的货物保险和人员保险均由中标人承担。</w:t>
      </w:r>
    </w:p>
    <w:p w14:paraId="5994BA7A">
      <w:pPr>
        <w:widowControl/>
        <w:spacing w:line="500" w:lineRule="exact"/>
        <w:jc w:val="left"/>
        <w:rPr>
          <w:rFonts w:ascii="Times New Roman" w:hAnsi="Times New Roman"/>
          <w:b/>
          <w:bCs/>
          <w:color w:val="auto"/>
          <w:sz w:val="24"/>
          <w:szCs w:val="24"/>
          <w:highlight w:val="none"/>
        </w:rPr>
      </w:pPr>
      <w:r>
        <w:rPr>
          <w:rFonts w:hint="eastAsia" w:ascii="宋体" w:hAnsi="宋体" w:cs="宋体"/>
          <w:b/>
          <w:bCs/>
          <w:color w:val="auto"/>
          <w:kern w:val="0"/>
          <w:sz w:val="24"/>
          <w:szCs w:val="24"/>
          <w:highlight w:val="none"/>
          <w:lang w:bidi="ar"/>
        </w:rPr>
        <w:t>三、采购清单</w:t>
      </w:r>
    </w:p>
    <w:p w14:paraId="2F8E9DE2">
      <w:pPr>
        <w:keepNext/>
        <w:keepLines/>
        <w:spacing w:line="360" w:lineRule="auto"/>
        <w:jc w:val="left"/>
        <w:outlineLvl w:val="2"/>
        <w:rPr>
          <w:rFonts w:ascii="Times New Roman" w:hAnsi="Times New Roman"/>
          <w:b/>
          <w:bCs/>
          <w:color w:val="auto"/>
          <w:sz w:val="24"/>
          <w:szCs w:val="24"/>
          <w:highlight w:val="none"/>
        </w:rPr>
      </w:pPr>
      <w:r>
        <w:rPr>
          <w:rFonts w:ascii="Times New Roman" w:hAnsi="Times New Roman"/>
          <w:b/>
          <w:bCs/>
          <w:color w:val="auto"/>
          <w:sz w:val="24"/>
          <w:szCs w:val="24"/>
          <w:highlight w:val="none"/>
        </w:rPr>
        <w:t xml:space="preserve">3.1 </w:t>
      </w:r>
      <w:r>
        <w:rPr>
          <w:rFonts w:hint="eastAsia" w:ascii="Times New Roman" w:hAnsi="Times New Roman"/>
          <w:b/>
          <w:bCs/>
          <w:color w:val="auto"/>
          <w:sz w:val="24"/>
          <w:szCs w:val="24"/>
          <w:highlight w:val="none"/>
        </w:rPr>
        <w:t>采购清单</w:t>
      </w:r>
    </w:p>
    <w:tbl>
      <w:tblPr>
        <w:tblStyle w:val="12"/>
        <w:tblW w:w="53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4009"/>
        <w:gridCol w:w="576"/>
        <w:gridCol w:w="583"/>
        <w:gridCol w:w="3338"/>
      </w:tblGrid>
      <w:tr w14:paraId="4ED47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blHeader/>
          <w:jc w:val="center"/>
        </w:trPr>
        <w:tc>
          <w:tcPr>
            <w:tcW w:w="360" w:type="pct"/>
            <w:shd w:val="clear" w:color="auto" w:fill="auto"/>
            <w:vAlign w:val="center"/>
          </w:tcPr>
          <w:p w14:paraId="2F54D9EE">
            <w:pPr>
              <w:widowControl/>
              <w:spacing w:line="360" w:lineRule="auto"/>
              <w:jc w:val="center"/>
              <w:rPr>
                <w:rFonts w:ascii="Times New Roman" w:hAnsi="Times New Roman"/>
                <w:b/>
                <w:bCs/>
                <w:color w:val="auto"/>
                <w:kern w:val="0"/>
                <w:sz w:val="24"/>
                <w:szCs w:val="24"/>
                <w:highlight w:val="none"/>
              </w:rPr>
            </w:pPr>
            <w:r>
              <w:rPr>
                <w:rFonts w:hint="eastAsia" w:ascii="Times New Roman" w:hAnsi="Times New Roman"/>
                <w:b/>
                <w:bCs/>
                <w:color w:val="auto"/>
                <w:kern w:val="0"/>
                <w:sz w:val="24"/>
                <w:szCs w:val="24"/>
                <w:highlight w:val="none"/>
              </w:rPr>
              <w:t>序号</w:t>
            </w:r>
          </w:p>
        </w:tc>
        <w:tc>
          <w:tcPr>
            <w:tcW w:w="2187" w:type="pct"/>
            <w:shd w:val="clear" w:color="auto" w:fill="auto"/>
            <w:vAlign w:val="center"/>
          </w:tcPr>
          <w:p w14:paraId="183108AC">
            <w:pPr>
              <w:widowControl/>
              <w:spacing w:line="360" w:lineRule="auto"/>
              <w:jc w:val="center"/>
              <w:rPr>
                <w:rFonts w:ascii="Times New Roman" w:hAnsi="Times New Roman"/>
                <w:b/>
                <w:bCs/>
                <w:color w:val="auto"/>
                <w:kern w:val="0"/>
                <w:sz w:val="24"/>
                <w:szCs w:val="24"/>
                <w:highlight w:val="none"/>
              </w:rPr>
            </w:pPr>
            <w:r>
              <w:rPr>
                <w:rFonts w:hint="eastAsia" w:ascii="Times New Roman" w:hAnsi="Times New Roman"/>
                <w:b/>
                <w:bCs/>
                <w:color w:val="auto"/>
                <w:kern w:val="0"/>
                <w:sz w:val="24"/>
                <w:szCs w:val="24"/>
                <w:highlight w:val="none"/>
              </w:rPr>
              <w:t>项目</w:t>
            </w:r>
          </w:p>
        </w:tc>
        <w:tc>
          <w:tcPr>
            <w:tcW w:w="314" w:type="pct"/>
            <w:shd w:val="clear" w:color="auto" w:fill="auto"/>
            <w:vAlign w:val="center"/>
          </w:tcPr>
          <w:p w14:paraId="6B933F5D">
            <w:pPr>
              <w:widowControl/>
              <w:spacing w:line="360" w:lineRule="auto"/>
              <w:jc w:val="center"/>
              <w:rPr>
                <w:rFonts w:ascii="Times New Roman" w:hAnsi="Times New Roman"/>
                <w:b/>
                <w:bCs/>
                <w:color w:val="auto"/>
                <w:kern w:val="0"/>
                <w:sz w:val="24"/>
                <w:szCs w:val="24"/>
                <w:highlight w:val="none"/>
              </w:rPr>
            </w:pPr>
            <w:r>
              <w:rPr>
                <w:rFonts w:hint="eastAsia" w:ascii="Times New Roman" w:hAnsi="Times New Roman"/>
                <w:b/>
                <w:bCs/>
                <w:color w:val="auto"/>
                <w:kern w:val="0"/>
                <w:sz w:val="24"/>
                <w:szCs w:val="24"/>
                <w:highlight w:val="none"/>
              </w:rPr>
              <w:t>单位</w:t>
            </w:r>
          </w:p>
        </w:tc>
        <w:tc>
          <w:tcPr>
            <w:tcW w:w="318" w:type="pct"/>
            <w:shd w:val="clear" w:color="auto" w:fill="auto"/>
            <w:vAlign w:val="center"/>
          </w:tcPr>
          <w:p w14:paraId="622892E6">
            <w:pPr>
              <w:widowControl/>
              <w:spacing w:line="360" w:lineRule="auto"/>
              <w:jc w:val="center"/>
              <w:rPr>
                <w:rFonts w:ascii="Times New Roman" w:hAnsi="Times New Roman"/>
                <w:b/>
                <w:bCs/>
                <w:color w:val="auto"/>
                <w:kern w:val="0"/>
                <w:sz w:val="24"/>
                <w:szCs w:val="24"/>
                <w:highlight w:val="none"/>
              </w:rPr>
            </w:pPr>
            <w:r>
              <w:rPr>
                <w:rFonts w:hint="eastAsia" w:ascii="Times New Roman" w:hAnsi="Times New Roman"/>
                <w:b/>
                <w:bCs/>
                <w:color w:val="auto"/>
                <w:kern w:val="0"/>
                <w:sz w:val="24"/>
                <w:szCs w:val="24"/>
                <w:highlight w:val="none"/>
              </w:rPr>
              <w:t>数量</w:t>
            </w:r>
          </w:p>
        </w:tc>
        <w:tc>
          <w:tcPr>
            <w:tcW w:w="1822" w:type="pct"/>
            <w:shd w:val="clear" w:color="auto" w:fill="auto"/>
            <w:vAlign w:val="center"/>
          </w:tcPr>
          <w:p w14:paraId="0764D544">
            <w:pPr>
              <w:widowControl/>
              <w:spacing w:line="360" w:lineRule="auto"/>
              <w:jc w:val="center"/>
              <w:rPr>
                <w:rFonts w:ascii="Times New Roman" w:hAnsi="Times New Roman"/>
                <w:b/>
                <w:bCs/>
                <w:color w:val="auto"/>
                <w:kern w:val="0"/>
                <w:sz w:val="24"/>
                <w:szCs w:val="24"/>
                <w:highlight w:val="none"/>
              </w:rPr>
            </w:pPr>
            <w:r>
              <w:rPr>
                <w:rFonts w:hint="eastAsia" w:ascii="Times New Roman" w:hAnsi="Times New Roman"/>
                <w:b/>
                <w:bCs/>
                <w:color w:val="auto"/>
                <w:kern w:val="0"/>
                <w:sz w:val="24"/>
                <w:szCs w:val="24"/>
                <w:highlight w:val="none"/>
              </w:rPr>
              <w:t>备注</w:t>
            </w:r>
          </w:p>
        </w:tc>
      </w:tr>
      <w:tr w14:paraId="4C2A0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360" w:type="pct"/>
            <w:shd w:val="clear" w:color="auto" w:fill="auto"/>
            <w:vAlign w:val="center"/>
          </w:tcPr>
          <w:p w14:paraId="28E284B5">
            <w:pPr>
              <w:widowControl/>
              <w:spacing w:line="360" w:lineRule="auto"/>
              <w:jc w:val="center"/>
              <w:rPr>
                <w:rFonts w:ascii="Times New Roman" w:hAnsi="Times New Roman"/>
                <w:b/>
                <w:bCs/>
                <w:color w:val="auto"/>
                <w:kern w:val="0"/>
                <w:sz w:val="24"/>
                <w:szCs w:val="24"/>
                <w:highlight w:val="none"/>
              </w:rPr>
            </w:pPr>
            <w:r>
              <w:rPr>
                <w:rFonts w:ascii="Times New Roman" w:hAnsi="Times New Roman"/>
                <w:b/>
                <w:bCs/>
                <w:color w:val="auto"/>
                <w:kern w:val="0"/>
                <w:sz w:val="24"/>
                <w:szCs w:val="24"/>
                <w:highlight w:val="none"/>
              </w:rPr>
              <w:t>1</w:t>
            </w:r>
          </w:p>
        </w:tc>
        <w:tc>
          <w:tcPr>
            <w:tcW w:w="2819" w:type="pct"/>
            <w:gridSpan w:val="3"/>
            <w:shd w:val="clear" w:color="auto" w:fill="auto"/>
            <w:vAlign w:val="center"/>
          </w:tcPr>
          <w:p w14:paraId="271FC467">
            <w:pPr>
              <w:widowControl/>
              <w:spacing w:line="360" w:lineRule="auto"/>
              <w:jc w:val="center"/>
              <w:rPr>
                <w:rFonts w:ascii="Times New Roman" w:hAnsi="Times New Roman"/>
                <w:b/>
                <w:bCs/>
                <w:color w:val="auto"/>
                <w:kern w:val="0"/>
                <w:sz w:val="24"/>
                <w:szCs w:val="24"/>
                <w:highlight w:val="none"/>
              </w:rPr>
            </w:pPr>
            <w:r>
              <w:rPr>
                <w:rFonts w:ascii="Times New Roman" w:hAnsi="Times New Roman"/>
                <w:b/>
                <w:bCs/>
                <w:color w:val="auto"/>
                <w:kern w:val="0"/>
                <w:sz w:val="24"/>
                <w:szCs w:val="24"/>
                <w:highlight w:val="none"/>
              </w:rPr>
              <w:t>X</w:t>
            </w:r>
            <w:r>
              <w:rPr>
                <w:rFonts w:hint="eastAsia" w:ascii="Times New Roman" w:hAnsi="Times New Roman"/>
                <w:b/>
                <w:bCs/>
                <w:color w:val="auto"/>
                <w:kern w:val="0"/>
                <w:sz w:val="24"/>
                <w:szCs w:val="24"/>
                <w:highlight w:val="none"/>
              </w:rPr>
              <w:t xml:space="preserve">波段相控阵天气雷达系统       </w:t>
            </w:r>
          </w:p>
        </w:tc>
        <w:tc>
          <w:tcPr>
            <w:tcW w:w="1822" w:type="pct"/>
            <w:shd w:val="clear" w:color="auto" w:fill="auto"/>
            <w:vAlign w:val="center"/>
          </w:tcPr>
          <w:p w14:paraId="444D8398">
            <w:pPr>
              <w:widowControl/>
              <w:spacing w:line="360" w:lineRule="auto"/>
              <w:jc w:val="center"/>
              <w:rPr>
                <w:rFonts w:ascii="Times New Roman" w:hAnsi="Times New Roman"/>
                <w:color w:val="auto"/>
                <w:kern w:val="0"/>
                <w:sz w:val="24"/>
                <w:szCs w:val="24"/>
                <w:highlight w:val="none"/>
              </w:rPr>
            </w:pPr>
          </w:p>
        </w:tc>
      </w:tr>
      <w:tr w14:paraId="46348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360" w:type="pct"/>
            <w:shd w:val="clear" w:color="auto" w:fill="auto"/>
            <w:vAlign w:val="center"/>
          </w:tcPr>
          <w:p w14:paraId="26342EFD">
            <w:pPr>
              <w:widowControl/>
              <w:spacing w:line="360" w:lineRule="auto"/>
              <w:jc w:val="center"/>
              <w:rPr>
                <w:rFonts w:ascii="Times New Roman" w:hAnsi="Times New Roman"/>
                <w:color w:val="auto"/>
                <w:kern w:val="0"/>
                <w:sz w:val="24"/>
                <w:szCs w:val="24"/>
                <w:highlight w:val="none"/>
              </w:rPr>
            </w:pPr>
            <w:r>
              <w:rPr>
                <w:rFonts w:ascii="Times New Roman" w:hAnsi="Times New Roman"/>
                <w:color w:val="auto"/>
                <w:kern w:val="0"/>
                <w:sz w:val="24"/>
                <w:szCs w:val="24"/>
                <w:highlight w:val="none"/>
              </w:rPr>
              <w:t>1.1</w:t>
            </w:r>
          </w:p>
        </w:tc>
        <w:tc>
          <w:tcPr>
            <w:tcW w:w="2187" w:type="pct"/>
            <w:shd w:val="clear" w:color="auto" w:fill="auto"/>
            <w:vAlign w:val="center"/>
          </w:tcPr>
          <w:p w14:paraId="76A12DF3">
            <w:pPr>
              <w:widowControl/>
              <w:spacing w:line="360" w:lineRule="auto"/>
              <w:rPr>
                <w:rFonts w:ascii="Times New Roman" w:hAnsi="Times New Roman"/>
                <w:color w:val="auto"/>
                <w:kern w:val="0"/>
                <w:sz w:val="24"/>
                <w:szCs w:val="24"/>
                <w:highlight w:val="none"/>
              </w:rPr>
            </w:pPr>
            <w:r>
              <w:rPr>
                <w:rFonts w:ascii="Times New Roman" w:hAnsi="Times New Roman"/>
                <w:color w:val="auto"/>
                <w:kern w:val="0"/>
                <w:sz w:val="24"/>
                <w:szCs w:val="24"/>
                <w:highlight w:val="none"/>
              </w:rPr>
              <w:t>X</w:t>
            </w:r>
            <w:r>
              <w:rPr>
                <w:rFonts w:hint="eastAsia" w:ascii="Times New Roman" w:hAnsi="Times New Roman"/>
                <w:color w:val="auto"/>
                <w:kern w:val="0"/>
                <w:sz w:val="24"/>
                <w:szCs w:val="24"/>
                <w:highlight w:val="none"/>
              </w:rPr>
              <w:t>波段相控阵天气雷达设备及配套软件</w:t>
            </w:r>
          </w:p>
        </w:tc>
        <w:tc>
          <w:tcPr>
            <w:tcW w:w="314" w:type="pct"/>
            <w:shd w:val="clear" w:color="auto" w:fill="auto"/>
            <w:vAlign w:val="center"/>
          </w:tcPr>
          <w:p w14:paraId="73A21F66">
            <w:pPr>
              <w:widowControl/>
              <w:spacing w:line="360" w:lineRule="auto"/>
              <w:jc w:val="center"/>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套</w:t>
            </w:r>
          </w:p>
        </w:tc>
        <w:tc>
          <w:tcPr>
            <w:tcW w:w="318" w:type="pct"/>
            <w:shd w:val="clear" w:color="auto" w:fill="auto"/>
            <w:vAlign w:val="center"/>
          </w:tcPr>
          <w:p w14:paraId="65C83BD5">
            <w:pPr>
              <w:widowControl/>
              <w:spacing w:line="360" w:lineRule="auto"/>
              <w:jc w:val="center"/>
              <w:rPr>
                <w:rFonts w:ascii="Times New Roman" w:hAnsi="Times New Roman"/>
                <w:color w:val="auto"/>
                <w:kern w:val="0"/>
                <w:sz w:val="24"/>
                <w:szCs w:val="24"/>
                <w:highlight w:val="none"/>
              </w:rPr>
            </w:pPr>
            <w:r>
              <w:rPr>
                <w:rFonts w:ascii="Times New Roman" w:hAnsi="Times New Roman"/>
                <w:color w:val="auto"/>
                <w:kern w:val="0"/>
                <w:sz w:val="24"/>
                <w:szCs w:val="24"/>
                <w:highlight w:val="none"/>
              </w:rPr>
              <w:t>1</w:t>
            </w:r>
          </w:p>
        </w:tc>
        <w:tc>
          <w:tcPr>
            <w:tcW w:w="1822" w:type="pct"/>
            <w:shd w:val="clear" w:color="auto" w:fill="auto"/>
            <w:vAlign w:val="center"/>
          </w:tcPr>
          <w:p w14:paraId="5E71BB48">
            <w:pPr>
              <w:widowControl/>
              <w:spacing w:line="360" w:lineRule="auto"/>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含雷达设备配套软件：</w:t>
            </w:r>
            <w:r>
              <w:rPr>
                <w:rFonts w:ascii="Times New Roman" w:hAnsi="Times New Roman"/>
                <w:color w:val="auto"/>
                <w:kern w:val="0"/>
                <w:sz w:val="24"/>
                <w:szCs w:val="24"/>
                <w:highlight w:val="none"/>
              </w:rPr>
              <w:br w:type="textWrapping"/>
            </w:r>
            <w:r>
              <w:rPr>
                <w:rFonts w:ascii="Times New Roman" w:hAnsi="Times New Roman"/>
                <w:color w:val="auto"/>
                <w:kern w:val="0"/>
                <w:sz w:val="24"/>
                <w:szCs w:val="24"/>
                <w:highlight w:val="none"/>
              </w:rPr>
              <w:t>1</w:t>
            </w:r>
            <w:r>
              <w:rPr>
                <w:rFonts w:hint="eastAsia" w:ascii="Times New Roman" w:hAnsi="Times New Roman"/>
                <w:color w:val="auto"/>
                <w:kern w:val="0"/>
                <w:sz w:val="24"/>
                <w:szCs w:val="24"/>
                <w:highlight w:val="none"/>
              </w:rPr>
              <w:t>）雷达控制软件；</w:t>
            </w:r>
            <w:r>
              <w:rPr>
                <w:rFonts w:ascii="Times New Roman" w:hAnsi="Times New Roman"/>
                <w:color w:val="auto"/>
                <w:kern w:val="0"/>
                <w:sz w:val="24"/>
                <w:szCs w:val="24"/>
                <w:highlight w:val="none"/>
              </w:rPr>
              <w:br w:type="textWrapping"/>
            </w:r>
            <w:r>
              <w:rPr>
                <w:rFonts w:ascii="Times New Roman" w:hAnsi="Times New Roman"/>
                <w:color w:val="auto"/>
                <w:kern w:val="0"/>
                <w:sz w:val="24"/>
                <w:szCs w:val="24"/>
                <w:highlight w:val="none"/>
              </w:rPr>
              <w:t>2</w:t>
            </w:r>
            <w:r>
              <w:rPr>
                <w:rFonts w:hint="eastAsia" w:ascii="Times New Roman" w:hAnsi="Times New Roman"/>
                <w:color w:val="auto"/>
                <w:kern w:val="0"/>
                <w:sz w:val="24"/>
                <w:szCs w:val="24"/>
                <w:highlight w:val="none"/>
              </w:rPr>
              <w:t>）雷达气象产品生成软件；</w:t>
            </w:r>
            <w:r>
              <w:rPr>
                <w:rFonts w:ascii="Times New Roman" w:hAnsi="Times New Roman"/>
                <w:color w:val="auto"/>
                <w:kern w:val="0"/>
                <w:sz w:val="24"/>
                <w:szCs w:val="24"/>
                <w:highlight w:val="none"/>
              </w:rPr>
              <w:br w:type="textWrapping"/>
            </w:r>
            <w:r>
              <w:rPr>
                <w:rFonts w:ascii="Times New Roman" w:hAnsi="Times New Roman"/>
                <w:color w:val="auto"/>
                <w:kern w:val="0"/>
                <w:sz w:val="24"/>
                <w:szCs w:val="24"/>
                <w:highlight w:val="none"/>
              </w:rPr>
              <w:t>3</w:t>
            </w:r>
            <w:r>
              <w:rPr>
                <w:rFonts w:hint="eastAsia" w:ascii="Times New Roman" w:hAnsi="Times New Roman"/>
                <w:color w:val="auto"/>
                <w:kern w:val="0"/>
                <w:sz w:val="24"/>
                <w:szCs w:val="24"/>
                <w:highlight w:val="none"/>
              </w:rPr>
              <w:t>）雷达气象产品显示软件。</w:t>
            </w:r>
          </w:p>
        </w:tc>
      </w:tr>
      <w:tr w14:paraId="6676B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360" w:type="pct"/>
            <w:shd w:val="clear" w:color="auto" w:fill="auto"/>
            <w:vAlign w:val="center"/>
          </w:tcPr>
          <w:p w14:paraId="1F8E8432">
            <w:pPr>
              <w:widowControl/>
              <w:spacing w:line="360" w:lineRule="auto"/>
              <w:jc w:val="center"/>
              <w:rPr>
                <w:rFonts w:ascii="Times New Roman" w:hAnsi="Times New Roman"/>
                <w:b/>
                <w:bCs/>
                <w:color w:val="auto"/>
                <w:kern w:val="0"/>
                <w:sz w:val="24"/>
                <w:szCs w:val="24"/>
                <w:highlight w:val="none"/>
              </w:rPr>
            </w:pPr>
            <w:r>
              <w:rPr>
                <w:rFonts w:ascii="Times New Roman" w:hAnsi="Times New Roman"/>
                <w:b/>
                <w:bCs/>
                <w:color w:val="auto"/>
                <w:kern w:val="0"/>
                <w:sz w:val="24"/>
                <w:szCs w:val="24"/>
                <w:highlight w:val="none"/>
              </w:rPr>
              <w:t>2</w:t>
            </w:r>
          </w:p>
        </w:tc>
        <w:tc>
          <w:tcPr>
            <w:tcW w:w="2819" w:type="pct"/>
            <w:gridSpan w:val="3"/>
            <w:shd w:val="clear" w:color="auto" w:fill="auto"/>
            <w:vAlign w:val="center"/>
          </w:tcPr>
          <w:p w14:paraId="252A3643">
            <w:pPr>
              <w:widowControl/>
              <w:spacing w:line="360" w:lineRule="auto"/>
              <w:jc w:val="center"/>
              <w:rPr>
                <w:rFonts w:ascii="Times New Roman" w:hAnsi="Times New Roman"/>
                <w:b/>
                <w:bCs/>
                <w:color w:val="auto"/>
                <w:kern w:val="0"/>
                <w:sz w:val="24"/>
                <w:szCs w:val="24"/>
                <w:highlight w:val="none"/>
              </w:rPr>
            </w:pPr>
            <w:r>
              <w:rPr>
                <w:rFonts w:hint="eastAsia" w:ascii="Times New Roman" w:hAnsi="Times New Roman"/>
                <w:b/>
                <w:bCs/>
                <w:color w:val="auto"/>
                <w:kern w:val="0"/>
                <w:sz w:val="24"/>
                <w:szCs w:val="24"/>
                <w:highlight w:val="none"/>
              </w:rPr>
              <w:t>相控阵天气雷达数据处理存储显示系统</w:t>
            </w:r>
          </w:p>
        </w:tc>
        <w:tc>
          <w:tcPr>
            <w:tcW w:w="1822" w:type="pct"/>
            <w:shd w:val="clear" w:color="auto" w:fill="auto"/>
            <w:vAlign w:val="center"/>
          </w:tcPr>
          <w:p w14:paraId="45777968">
            <w:pPr>
              <w:widowControl/>
              <w:spacing w:line="360" w:lineRule="auto"/>
              <w:jc w:val="center"/>
              <w:rPr>
                <w:rFonts w:ascii="Times New Roman" w:hAnsi="Times New Roman"/>
                <w:color w:val="auto"/>
                <w:kern w:val="0"/>
                <w:sz w:val="24"/>
                <w:szCs w:val="24"/>
                <w:highlight w:val="none"/>
              </w:rPr>
            </w:pPr>
          </w:p>
        </w:tc>
      </w:tr>
      <w:tr w14:paraId="713D7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360" w:type="pct"/>
            <w:shd w:val="clear" w:color="auto" w:fill="auto"/>
            <w:vAlign w:val="center"/>
          </w:tcPr>
          <w:p w14:paraId="430902B4">
            <w:pPr>
              <w:widowControl/>
              <w:spacing w:line="360" w:lineRule="auto"/>
              <w:jc w:val="center"/>
              <w:rPr>
                <w:rFonts w:ascii="Times New Roman" w:hAnsi="Times New Roman"/>
                <w:color w:val="auto"/>
                <w:kern w:val="0"/>
                <w:sz w:val="24"/>
                <w:szCs w:val="24"/>
                <w:highlight w:val="none"/>
              </w:rPr>
            </w:pPr>
            <w:r>
              <w:rPr>
                <w:rFonts w:ascii="Times New Roman" w:hAnsi="Times New Roman"/>
                <w:color w:val="auto"/>
                <w:kern w:val="0"/>
                <w:sz w:val="24"/>
                <w:szCs w:val="24"/>
                <w:highlight w:val="none"/>
              </w:rPr>
              <w:t>2.1</w:t>
            </w:r>
          </w:p>
        </w:tc>
        <w:tc>
          <w:tcPr>
            <w:tcW w:w="2187" w:type="pct"/>
            <w:shd w:val="clear" w:color="auto" w:fill="auto"/>
            <w:vAlign w:val="center"/>
          </w:tcPr>
          <w:p w14:paraId="3553F24D">
            <w:pPr>
              <w:widowControl/>
              <w:spacing w:line="360" w:lineRule="auto"/>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雷达运算存储设备</w:t>
            </w:r>
          </w:p>
        </w:tc>
        <w:tc>
          <w:tcPr>
            <w:tcW w:w="314" w:type="pct"/>
            <w:shd w:val="clear" w:color="auto" w:fill="auto"/>
            <w:vAlign w:val="center"/>
          </w:tcPr>
          <w:p w14:paraId="02297CBE">
            <w:pPr>
              <w:widowControl/>
              <w:spacing w:line="360" w:lineRule="auto"/>
              <w:jc w:val="center"/>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套</w:t>
            </w:r>
          </w:p>
        </w:tc>
        <w:tc>
          <w:tcPr>
            <w:tcW w:w="318" w:type="pct"/>
            <w:shd w:val="clear" w:color="auto" w:fill="auto"/>
            <w:vAlign w:val="center"/>
          </w:tcPr>
          <w:p w14:paraId="600E4638">
            <w:pPr>
              <w:widowControl/>
              <w:spacing w:line="360" w:lineRule="auto"/>
              <w:jc w:val="center"/>
              <w:rPr>
                <w:rFonts w:ascii="Times New Roman" w:hAnsi="Times New Roman"/>
                <w:color w:val="auto"/>
                <w:kern w:val="0"/>
                <w:sz w:val="24"/>
                <w:szCs w:val="24"/>
                <w:highlight w:val="none"/>
              </w:rPr>
            </w:pPr>
            <w:r>
              <w:rPr>
                <w:rFonts w:ascii="Times New Roman" w:hAnsi="Times New Roman"/>
                <w:color w:val="auto"/>
                <w:kern w:val="0"/>
                <w:sz w:val="24"/>
                <w:szCs w:val="24"/>
                <w:highlight w:val="none"/>
              </w:rPr>
              <w:t>1</w:t>
            </w:r>
          </w:p>
        </w:tc>
        <w:tc>
          <w:tcPr>
            <w:tcW w:w="1822" w:type="pct"/>
            <w:shd w:val="clear" w:color="auto" w:fill="auto"/>
            <w:vAlign w:val="center"/>
          </w:tcPr>
          <w:p w14:paraId="109ED72B">
            <w:pPr>
              <w:widowControl/>
              <w:spacing w:line="360" w:lineRule="auto"/>
              <w:jc w:val="center"/>
              <w:rPr>
                <w:rFonts w:ascii="Times New Roman" w:hAnsi="Times New Roman"/>
                <w:color w:val="auto"/>
                <w:kern w:val="0"/>
                <w:sz w:val="24"/>
                <w:szCs w:val="24"/>
                <w:highlight w:val="none"/>
              </w:rPr>
            </w:pPr>
          </w:p>
        </w:tc>
      </w:tr>
      <w:tr w14:paraId="7136A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jc w:val="center"/>
        </w:trPr>
        <w:tc>
          <w:tcPr>
            <w:tcW w:w="360" w:type="pct"/>
            <w:shd w:val="clear" w:color="auto" w:fill="auto"/>
            <w:vAlign w:val="center"/>
          </w:tcPr>
          <w:p w14:paraId="590D16A5">
            <w:pPr>
              <w:widowControl/>
              <w:spacing w:line="360" w:lineRule="auto"/>
              <w:jc w:val="center"/>
              <w:rPr>
                <w:rFonts w:ascii="Times New Roman" w:hAnsi="Times New Roman"/>
                <w:color w:val="auto"/>
                <w:kern w:val="0"/>
                <w:sz w:val="24"/>
                <w:szCs w:val="24"/>
                <w:highlight w:val="none"/>
              </w:rPr>
            </w:pPr>
            <w:r>
              <w:rPr>
                <w:rFonts w:ascii="Times New Roman" w:hAnsi="Times New Roman"/>
                <w:color w:val="auto"/>
                <w:kern w:val="0"/>
                <w:sz w:val="24"/>
                <w:szCs w:val="24"/>
                <w:highlight w:val="none"/>
              </w:rPr>
              <w:t>2.2</w:t>
            </w:r>
          </w:p>
        </w:tc>
        <w:tc>
          <w:tcPr>
            <w:tcW w:w="2187" w:type="pct"/>
            <w:shd w:val="clear" w:color="auto" w:fill="auto"/>
            <w:vAlign w:val="center"/>
          </w:tcPr>
          <w:p w14:paraId="0C3CF1A3">
            <w:pPr>
              <w:widowControl/>
              <w:spacing w:line="360" w:lineRule="auto"/>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大容量数据存储设备</w:t>
            </w:r>
          </w:p>
        </w:tc>
        <w:tc>
          <w:tcPr>
            <w:tcW w:w="314" w:type="pct"/>
            <w:shd w:val="clear" w:color="auto" w:fill="auto"/>
            <w:vAlign w:val="center"/>
          </w:tcPr>
          <w:p w14:paraId="1736F689">
            <w:pPr>
              <w:widowControl/>
              <w:spacing w:line="360" w:lineRule="auto"/>
              <w:jc w:val="center"/>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台</w:t>
            </w:r>
          </w:p>
        </w:tc>
        <w:tc>
          <w:tcPr>
            <w:tcW w:w="318" w:type="pct"/>
            <w:shd w:val="clear" w:color="auto" w:fill="auto"/>
            <w:vAlign w:val="center"/>
          </w:tcPr>
          <w:p w14:paraId="4B98555D">
            <w:pPr>
              <w:widowControl/>
              <w:spacing w:line="360" w:lineRule="auto"/>
              <w:jc w:val="center"/>
              <w:rPr>
                <w:rFonts w:ascii="Times New Roman" w:hAnsi="Times New Roman"/>
                <w:color w:val="auto"/>
                <w:kern w:val="0"/>
                <w:sz w:val="24"/>
                <w:szCs w:val="24"/>
                <w:highlight w:val="none"/>
              </w:rPr>
            </w:pPr>
            <w:r>
              <w:rPr>
                <w:rFonts w:ascii="Times New Roman" w:hAnsi="Times New Roman"/>
                <w:color w:val="auto"/>
                <w:kern w:val="0"/>
                <w:sz w:val="24"/>
                <w:szCs w:val="24"/>
                <w:highlight w:val="none"/>
              </w:rPr>
              <w:t>1</w:t>
            </w:r>
          </w:p>
        </w:tc>
        <w:tc>
          <w:tcPr>
            <w:tcW w:w="1822" w:type="pct"/>
            <w:shd w:val="clear" w:color="auto" w:fill="auto"/>
            <w:vAlign w:val="center"/>
          </w:tcPr>
          <w:p w14:paraId="303558EB">
            <w:pPr>
              <w:widowControl/>
              <w:spacing w:line="360" w:lineRule="auto"/>
              <w:jc w:val="center"/>
              <w:rPr>
                <w:rFonts w:ascii="Times New Roman" w:hAnsi="Times New Roman"/>
                <w:color w:val="auto"/>
                <w:kern w:val="0"/>
                <w:sz w:val="24"/>
                <w:szCs w:val="24"/>
                <w:highlight w:val="none"/>
              </w:rPr>
            </w:pPr>
          </w:p>
        </w:tc>
      </w:tr>
      <w:tr w14:paraId="7FAE0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360" w:type="pct"/>
            <w:shd w:val="clear" w:color="auto" w:fill="auto"/>
            <w:vAlign w:val="center"/>
          </w:tcPr>
          <w:p w14:paraId="723BBBA9">
            <w:pPr>
              <w:widowControl/>
              <w:spacing w:line="360" w:lineRule="auto"/>
              <w:jc w:val="center"/>
              <w:rPr>
                <w:rFonts w:ascii="Times New Roman" w:hAnsi="Times New Roman"/>
                <w:color w:val="auto"/>
                <w:kern w:val="0"/>
                <w:sz w:val="24"/>
                <w:szCs w:val="24"/>
                <w:highlight w:val="none"/>
              </w:rPr>
            </w:pPr>
            <w:r>
              <w:rPr>
                <w:rFonts w:ascii="Times New Roman" w:hAnsi="Times New Roman"/>
                <w:color w:val="auto"/>
                <w:kern w:val="0"/>
                <w:sz w:val="24"/>
                <w:szCs w:val="24"/>
                <w:highlight w:val="none"/>
              </w:rPr>
              <w:t>2.3</w:t>
            </w:r>
          </w:p>
        </w:tc>
        <w:tc>
          <w:tcPr>
            <w:tcW w:w="2187" w:type="pct"/>
            <w:shd w:val="clear" w:color="auto" w:fill="auto"/>
            <w:vAlign w:val="center"/>
          </w:tcPr>
          <w:p w14:paraId="75606849">
            <w:pPr>
              <w:widowControl/>
              <w:spacing w:line="360" w:lineRule="auto"/>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气象产品显示工作站</w:t>
            </w:r>
          </w:p>
        </w:tc>
        <w:tc>
          <w:tcPr>
            <w:tcW w:w="314" w:type="pct"/>
            <w:shd w:val="clear" w:color="auto" w:fill="auto"/>
            <w:vAlign w:val="center"/>
          </w:tcPr>
          <w:p w14:paraId="1D500C95">
            <w:pPr>
              <w:widowControl/>
              <w:spacing w:line="360" w:lineRule="auto"/>
              <w:jc w:val="center"/>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台</w:t>
            </w:r>
          </w:p>
        </w:tc>
        <w:tc>
          <w:tcPr>
            <w:tcW w:w="318" w:type="pct"/>
            <w:shd w:val="clear" w:color="auto" w:fill="auto"/>
            <w:vAlign w:val="center"/>
          </w:tcPr>
          <w:p w14:paraId="6AD3FBA3">
            <w:pPr>
              <w:widowControl/>
              <w:spacing w:line="360" w:lineRule="auto"/>
              <w:jc w:val="center"/>
              <w:rPr>
                <w:rFonts w:ascii="Times New Roman" w:hAnsi="Times New Roman"/>
                <w:color w:val="auto"/>
                <w:kern w:val="0"/>
                <w:sz w:val="24"/>
                <w:szCs w:val="24"/>
                <w:highlight w:val="none"/>
              </w:rPr>
            </w:pPr>
            <w:r>
              <w:rPr>
                <w:rFonts w:ascii="Times New Roman" w:hAnsi="Times New Roman"/>
                <w:color w:val="auto"/>
                <w:kern w:val="0"/>
                <w:sz w:val="24"/>
                <w:szCs w:val="24"/>
                <w:highlight w:val="none"/>
              </w:rPr>
              <w:t>2</w:t>
            </w:r>
          </w:p>
        </w:tc>
        <w:tc>
          <w:tcPr>
            <w:tcW w:w="1822" w:type="pct"/>
            <w:shd w:val="clear" w:color="auto" w:fill="auto"/>
            <w:vAlign w:val="center"/>
          </w:tcPr>
          <w:p w14:paraId="38281D28">
            <w:pPr>
              <w:widowControl/>
              <w:spacing w:line="360" w:lineRule="auto"/>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单机雷达气象产品和组网融合气象产品显示各</w:t>
            </w:r>
            <w:r>
              <w:rPr>
                <w:rFonts w:ascii="Times New Roman" w:hAnsi="Times New Roman"/>
                <w:color w:val="auto"/>
                <w:kern w:val="0"/>
                <w:sz w:val="24"/>
                <w:szCs w:val="24"/>
                <w:highlight w:val="none"/>
              </w:rPr>
              <w:t>1</w:t>
            </w:r>
            <w:r>
              <w:rPr>
                <w:rFonts w:hint="eastAsia" w:ascii="Times New Roman" w:hAnsi="Times New Roman"/>
                <w:color w:val="auto"/>
                <w:kern w:val="0"/>
                <w:sz w:val="24"/>
                <w:szCs w:val="24"/>
                <w:highlight w:val="none"/>
              </w:rPr>
              <w:t>台。</w:t>
            </w:r>
          </w:p>
        </w:tc>
      </w:tr>
      <w:tr w14:paraId="0AA25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0" w:type="pct"/>
            <w:shd w:val="clear" w:color="auto" w:fill="auto"/>
            <w:vAlign w:val="center"/>
          </w:tcPr>
          <w:p w14:paraId="078254B5">
            <w:pPr>
              <w:widowControl/>
              <w:spacing w:line="360" w:lineRule="auto"/>
              <w:jc w:val="center"/>
              <w:rPr>
                <w:rFonts w:ascii="Times New Roman" w:hAnsi="Times New Roman"/>
                <w:b/>
                <w:bCs/>
                <w:color w:val="auto"/>
                <w:kern w:val="0"/>
                <w:sz w:val="24"/>
                <w:szCs w:val="24"/>
                <w:highlight w:val="none"/>
              </w:rPr>
            </w:pPr>
            <w:r>
              <w:rPr>
                <w:rFonts w:ascii="Times New Roman" w:hAnsi="Times New Roman"/>
                <w:b/>
                <w:bCs/>
                <w:color w:val="auto"/>
                <w:kern w:val="0"/>
                <w:sz w:val="24"/>
                <w:szCs w:val="24"/>
                <w:highlight w:val="none"/>
              </w:rPr>
              <w:t>3</w:t>
            </w:r>
          </w:p>
        </w:tc>
        <w:tc>
          <w:tcPr>
            <w:tcW w:w="2819" w:type="pct"/>
            <w:gridSpan w:val="3"/>
            <w:shd w:val="clear" w:color="auto" w:fill="auto"/>
            <w:vAlign w:val="center"/>
          </w:tcPr>
          <w:p w14:paraId="1C08D89F">
            <w:pPr>
              <w:widowControl/>
              <w:spacing w:line="360" w:lineRule="auto"/>
              <w:jc w:val="center"/>
              <w:rPr>
                <w:rFonts w:ascii="Times New Roman" w:hAnsi="Times New Roman"/>
                <w:b/>
                <w:bCs/>
                <w:color w:val="auto"/>
                <w:kern w:val="0"/>
                <w:sz w:val="24"/>
                <w:szCs w:val="24"/>
                <w:highlight w:val="none"/>
              </w:rPr>
            </w:pPr>
            <w:r>
              <w:rPr>
                <w:rFonts w:hint="eastAsia" w:ascii="Times New Roman" w:hAnsi="Times New Roman"/>
                <w:b/>
                <w:bCs/>
                <w:color w:val="auto"/>
                <w:kern w:val="0"/>
                <w:sz w:val="24"/>
                <w:szCs w:val="24"/>
                <w:highlight w:val="none"/>
              </w:rPr>
              <w:t>塔下方舱内相关设备</w:t>
            </w:r>
          </w:p>
        </w:tc>
        <w:tc>
          <w:tcPr>
            <w:tcW w:w="1822" w:type="pct"/>
            <w:shd w:val="clear" w:color="auto" w:fill="auto"/>
            <w:vAlign w:val="center"/>
          </w:tcPr>
          <w:p w14:paraId="3C8BD432">
            <w:pPr>
              <w:widowControl/>
              <w:spacing w:line="360" w:lineRule="auto"/>
              <w:jc w:val="center"/>
              <w:rPr>
                <w:rFonts w:ascii="Times New Roman" w:hAnsi="Times New Roman"/>
                <w:color w:val="auto"/>
                <w:kern w:val="0"/>
                <w:sz w:val="24"/>
                <w:szCs w:val="24"/>
                <w:highlight w:val="none"/>
              </w:rPr>
            </w:pPr>
          </w:p>
        </w:tc>
      </w:tr>
      <w:tr w14:paraId="56D9B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0" w:type="pct"/>
            <w:shd w:val="clear" w:color="auto" w:fill="auto"/>
            <w:vAlign w:val="center"/>
          </w:tcPr>
          <w:p w14:paraId="660012C4">
            <w:pPr>
              <w:widowControl/>
              <w:spacing w:line="360" w:lineRule="auto"/>
              <w:jc w:val="center"/>
              <w:rPr>
                <w:rFonts w:ascii="Times New Roman" w:hAnsi="Times New Roman"/>
                <w:color w:val="auto"/>
                <w:kern w:val="0"/>
                <w:sz w:val="24"/>
                <w:szCs w:val="24"/>
                <w:highlight w:val="none"/>
              </w:rPr>
            </w:pPr>
            <w:r>
              <w:rPr>
                <w:rFonts w:ascii="Times New Roman" w:hAnsi="Times New Roman"/>
                <w:color w:val="auto"/>
                <w:kern w:val="0"/>
                <w:sz w:val="24"/>
                <w:szCs w:val="24"/>
                <w:highlight w:val="none"/>
              </w:rPr>
              <w:t>3.1</w:t>
            </w:r>
          </w:p>
        </w:tc>
        <w:tc>
          <w:tcPr>
            <w:tcW w:w="2187" w:type="pct"/>
            <w:shd w:val="clear" w:color="auto" w:fill="auto"/>
            <w:vAlign w:val="center"/>
          </w:tcPr>
          <w:p w14:paraId="67A26278">
            <w:pPr>
              <w:widowControl/>
              <w:spacing w:line="360" w:lineRule="auto"/>
              <w:rPr>
                <w:rFonts w:ascii="Times New Roman" w:hAnsi="Times New Roman"/>
                <w:color w:val="auto"/>
                <w:kern w:val="0"/>
                <w:sz w:val="24"/>
                <w:szCs w:val="24"/>
                <w:highlight w:val="none"/>
              </w:rPr>
            </w:pPr>
            <w:r>
              <w:rPr>
                <w:rFonts w:ascii="Times New Roman" w:hAnsi="Times New Roman"/>
                <w:color w:val="auto"/>
                <w:kern w:val="0"/>
                <w:sz w:val="24"/>
                <w:szCs w:val="24"/>
                <w:highlight w:val="none"/>
              </w:rPr>
              <w:t>UPS</w:t>
            </w:r>
            <w:r>
              <w:rPr>
                <w:rFonts w:hint="eastAsia" w:ascii="Times New Roman" w:hAnsi="Times New Roman"/>
                <w:color w:val="auto"/>
                <w:kern w:val="0"/>
                <w:sz w:val="24"/>
                <w:szCs w:val="24"/>
                <w:highlight w:val="none"/>
              </w:rPr>
              <w:t>主机</w:t>
            </w:r>
          </w:p>
        </w:tc>
        <w:tc>
          <w:tcPr>
            <w:tcW w:w="314" w:type="pct"/>
            <w:shd w:val="clear" w:color="auto" w:fill="auto"/>
            <w:vAlign w:val="center"/>
          </w:tcPr>
          <w:p w14:paraId="03912400">
            <w:pPr>
              <w:widowControl/>
              <w:spacing w:line="360" w:lineRule="auto"/>
              <w:jc w:val="center"/>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台</w:t>
            </w:r>
          </w:p>
        </w:tc>
        <w:tc>
          <w:tcPr>
            <w:tcW w:w="318" w:type="pct"/>
            <w:shd w:val="clear" w:color="auto" w:fill="auto"/>
            <w:vAlign w:val="center"/>
          </w:tcPr>
          <w:p w14:paraId="7210CC41">
            <w:pPr>
              <w:widowControl/>
              <w:spacing w:line="360" w:lineRule="auto"/>
              <w:jc w:val="center"/>
              <w:rPr>
                <w:rFonts w:ascii="Times New Roman" w:hAnsi="Times New Roman"/>
                <w:color w:val="auto"/>
                <w:kern w:val="0"/>
                <w:sz w:val="24"/>
                <w:szCs w:val="24"/>
                <w:highlight w:val="none"/>
              </w:rPr>
            </w:pPr>
            <w:r>
              <w:rPr>
                <w:rFonts w:ascii="Times New Roman" w:hAnsi="Times New Roman"/>
                <w:color w:val="auto"/>
                <w:kern w:val="0"/>
                <w:sz w:val="24"/>
                <w:szCs w:val="24"/>
                <w:highlight w:val="none"/>
              </w:rPr>
              <w:t>1</w:t>
            </w:r>
          </w:p>
        </w:tc>
        <w:tc>
          <w:tcPr>
            <w:tcW w:w="1822" w:type="pct"/>
            <w:shd w:val="clear" w:color="auto" w:fill="auto"/>
            <w:vAlign w:val="center"/>
          </w:tcPr>
          <w:p w14:paraId="718763E8">
            <w:pPr>
              <w:widowControl/>
              <w:spacing w:line="360" w:lineRule="auto"/>
              <w:jc w:val="center"/>
              <w:rPr>
                <w:rFonts w:ascii="Times New Roman" w:hAnsi="Times New Roman"/>
                <w:color w:val="auto"/>
                <w:kern w:val="0"/>
                <w:sz w:val="24"/>
                <w:szCs w:val="24"/>
                <w:highlight w:val="none"/>
              </w:rPr>
            </w:pPr>
          </w:p>
        </w:tc>
      </w:tr>
      <w:tr w14:paraId="30BEF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60" w:type="pct"/>
            <w:shd w:val="clear" w:color="auto" w:fill="auto"/>
            <w:vAlign w:val="center"/>
          </w:tcPr>
          <w:p w14:paraId="3FAA0D41">
            <w:pPr>
              <w:widowControl/>
              <w:spacing w:line="360" w:lineRule="auto"/>
              <w:jc w:val="center"/>
              <w:rPr>
                <w:rFonts w:ascii="Times New Roman" w:hAnsi="Times New Roman"/>
                <w:color w:val="auto"/>
                <w:kern w:val="0"/>
                <w:sz w:val="24"/>
                <w:szCs w:val="24"/>
                <w:highlight w:val="none"/>
              </w:rPr>
            </w:pPr>
            <w:r>
              <w:rPr>
                <w:rFonts w:ascii="Times New Roman" w:hAnsi="Times New Roman"/>
                <w:color w:val="auto"/>
                <w:kern w:val="0"/>
                <w:sz w:val="24"/>
                <w:szCs w:val="24"/>
                <w:highlight w:val="none"/>
              </w:rPr>
              <w:t>3.2</w:t>
            </w:r>
          </w:p>
        </w:tc>
        <w:tc>
          <w:tcPr>
            <w:tcW w:w="2187" w:type="pct"/>
            <w:shd w:val="clear" w:color="auto" w:fill="auto"/>
            <w:vAlign w:val="center"/>
          </w:tcPr>
          <w:p w14:paraId="2110A29F">
            <w:pPr>
              <w:widowControl/>
              <w:spacing w:line="360" w:lineRule="auto"/>
              <w:rPr>
                <w:rFonts w:ascii="Times New Roman" w:hAnsi="Times New Roman"/>
                <w:color w:val="auto"/>
                <w:kern w:val="0"/>
                <w:sz w:val="24"/>
                <w:szCs w:val="24"/>
                <w:highlight w:val="none"/>
              </w:rPr>
            </w:pPr>
            <w:r>
              <w:rPr>
                <w:rFonts w:ascii="Times New Roman" w:hAnsi="Times New Roman"/>
                <w:color w:val="auto"/>
                <w:kern w:val="0"/>
                <w:sz w:val="24"/>
                <w:szCs w:val="24"/>
                <w:highlight w:val="none"/>
              </w:rPr>
              <w:t>UPS</w:t>
            </w:r>
            <w:r>
              <w:rPr>
                <w:rFonts w:hint="eastAsia" w:ascii="Times New Roman" w:hAnsi="Times New Roman"/>
                <w:color w:val="auto"/>
                <w:kern w:val="0"/>
                <w:sz w:val="24"/>
                <w:szCs w:val="24"/>
                <w:highlight w:val="none"/>
              </w:rPr>
              <w:t>电池</w:t>
            </w:r>
          </w:p>
        </w:tc>
        <w:tc>
          <w:tcPr>
            <w:tcW w:w="314" w:type="pct"/>
            <w:shd w:val="clear" w:color="auto" w:fill="auto"/>
            <w:vAlign w:val="center"/>
          </w:tcPr>
          <w:p w14:paraId="27EEE0AE">
            <w:pPr>
              <w:widowControl/>
              <w:spacing w:line="360" w:lineRule="auto"/>
              <w:jc w:val="center"/>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块</w:t>
            </w:r>
          </w:p>
        </w:tc>
        <w:tc>
          <w:tcPr>
            <w:tcW w:w="318" w:type="pct"/>
            <w:shd w:val="clear" w:color="auto" w:fill="auto"/>
            <w:vAlign w:val="center"/>
          </w:tcPr>
          <w:p w14:paraId="7DD75EBD">
            <w:pPr>
              <w:widowControl/>
              <w:spacing w:line="360" w:lineRule="auto"/>
              <w:jc w:val="center"/>
              <w:rPr>
                <w:rFonts w:ascii="Times New Roman" w:hAnsi="Times New Roman"/>
                <w:color w:val="auto"/>
                <w:kern w:val="0"/>
                <w:sz w:val="24"/>
                <w:szCs w:val="24"/>
                <w:highlight w:val="none"/>
              </w:rPr>
            </w:pPr>
            <w:r>
              <w:rPr>
                <w:rFonts w:ascii="Times New Roman" w:hAnsi="Times New Roman"/>
                <w:color w:val="auto"/>
                <w:kern w:val="0"/>
                <w:sz w:val="24"/>
                <w:szCs w:val="24"/>
                <w:highlight w:val="none"/>
              </w:rPr>
              <w:t>64</w:t>
            </w:r>
          </w:p>
        </w:tc>
        <w:tc>
          <w:tcPr>
            <w:tcW w:w="1822" w:type="pct"/>
            <w:shd w:val="clear" w:color="auto" w:fill="auto"/>
            <w:vAlign w:val="center"/>
          </w:tcPr>
          <w:p w14:paraId="5B3B2457">
            <w:pPr>
              <w:widowControl/>
              <w:spacing w:line="360" w:lineRule="auto"/>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每站</w:t>
            </w:r>
            <w:r>
              <w:rPr>
                <w:rFonts w:ascii="Times New Roman" w:hAnsi="Times New Roman"/>
                <w:color w:val="auto"/>
                <w:kern w:val="0"/>
                <w:sz w:val="24"/>
                <w:szCs w:val="24"/>
                <w:highlight w:val="none"/>
              </w:rPr>
              <w:t>64</w:t>
            </w:r>
            <w:r>
              <w:rPr>
                <w:rFonts w:hint="eastAsia" w:ascii="Times New Roman" w:hAnsi="Times New Roman"/>
                <w:color w:val="auto"/>
                <w:kern w:val="0"/>
                <w:sz w:val="24"/>
                <w:szCs w:val="24"/>
                <w:highlight w:val="none"/>
              </w:rPr>
              <w:t>块，应急供电≥</w:t>
            </w:r>
            <w:r>
              <w:rPr>
                <w:rFonts w:ascii="Times New Roman" w:hAnsi="Times New Roman"/>
                <w:color w:val="auto"/>
                <w:kern w:val="0"/>
                <w:sz w:val="24"/>
                <w:szCs w:val="24"/>
                <w:highlight w:val="none"/>
              </w:rPr>
              <w:t>10</w:t>
            </w:r>
            <w:r>
              <w:rPr>
                <w:rFonts w:hint="eastAsia" w:ascii="Times New Roman" w:hAnsi="Times New Roman"/>
                <w:color w:val="auto"/>
                <w:kern w:val="0"/>
                <w:sz w:val="24"/>
                <w:szCs w:val="24"/>
                <w:highlight w:val="none"/>
              </w:rPr>
              <w:t>小时。</w:t>
            </w:r>
          </w:p>
        </w:tc>
      </w:tr>
      <w:tr w14:paraId="3251F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60" w:type="pct"/>
            <w:shd w:val="clear" w:color="auto" w:fill="auto"/>
            <w:vAlign w:val="center"/>
          </w:tcPr>
          <w:p w14:paraId="338B13BD">
            <w:pPr>
              <w:widowControl/>
              <w:spacing w:line="360" w:lineRule="auto"/>
              <w:jc w:val="center"/>
              <w:rPr>
                <w:rFonts w:ascii="Times New Roman" w:hAnsi="Times New Roman"/>
                <w:color w:val="auto"/>
                <w:kern w:val="0"/>
                <w:sz w:val="24"/>
                <w:szCs w:val="24"/>
                <w:highlight w:val="none"/>
              </w:rPr>
            </w:pPr>
            <w:r>
              <w:rPr>
                <w:rFonts w:ascii="Times New Roman" w:hAnsi="Times New Roman"/>
                <w:color w:val="auto"/>
                <w:kern w:val="0"/>
                <w:sz w:val="24"/>
                <w:szCs w:val="24"/>
                <w:highlight w:val="none"/>
              </w:rPr>
              <w:t>3.3</w:t>
            </w:r>
          </w:p>
        </w:tc>
        <w:tc>
          <w:tcPr>
            <w:tcW w:w="2187" w:type="pct"/>
            <w:shd w:val="clear" w:color="auto" w:fill="auto"/>
            <w:vAlign w:val="center"/>
          </w:tcPr>
          <w:p w14:paraId="5DAF22CF">
            <w:pPr>
              <w:widowControl/>
              <w:spacing w:line="360" w:lineRule="auto"/>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配电箱</w:t>
            </w:r>
            <w:r>
              <w:rPr>
                <w:rFonts w:ascii="Times New Roman" w:hAnsi="Times New Roman"/>
                <w:color w:val="auto"/>
                <w:kern w:val="0"/>
                <w:sz w:val="24"/>
                <w:szCs w:val="24"/>
                <w:highlight w:val="none"/>
              </w:rPr>
              <w:t>1</w:t>
            </w:r>
            <w:r>
              <w:rPr>
                <w:rFonts w:hint="eastAsia" w:ascii="Times New Roman" w:hAnsi="Times New Roman"/>
                <w:color w:val="auto"/>
                <w:kern w:val="0"/>
                <w:sz w:val="24"/>
                <w:szCs w:val="24"/>
                <w:highlight w:val="none"/>
              </w:rPr>
              <w:t>：</w:t>
            </w:r>
            <w:r>
              <w:rPr>
                <w:rFonts w:ascii="Times New Roman" w:hAnsi="Times New Roman"/>
                <w:color w:val="auto"/>
                <w:kern w:val="0"/>
                <w:sz w:val="24"/>
                <w:szCs w:val="24"/>
                <w:highlight w:val="none"/>
              </w:rPr>
              <w:t>AC-380V</w:t>
            </w:r>
          </w:p>
        </w:tc>
        <w:tc>
          <w:tcPr>
            <w:tcW w:w="314" w:type="pct"/>
            <w:shd w:val="clear" w:color="auto" w:fill="auto"/>
            <w:vAlign w:val="center"/>
          </w:tcPr>
          <w:p w14:paraId="0ADEF7C3">
            <w:pPr>
              <w:widowControl/>
              <w:spacing w:line="360" w:lineRule="auto"/>
              <w:jc w:val="center"/>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个</w:t>
            </w:r>
          </w:p>
        </w:tc>
        <w:tc>
          <w:tcPr>
            <w:tcW w:w="318" w:type="pct"/>
            <w:shd w:val="clear" w:color="auto" w:fill="auto"/>
            <w:vAlign w:val="center"/>
          </w:tcPr>
          <w:p w14:paraId="6F7C81A2">
            <w:pPr>
              <w:widowControl/>
              <w:spacing w:line="360" w:lineRule="auto"/>
              <w:jc w:val="center"/>
              <w:rPr>
                <w:rFonts w:ascii="Times New Roman" w:hAnsi="Times New Roman"/>
                <w:color w:val="auto"/>
                <w:kern w:val="0"/>
                <w:sz w:val="24"/>
                <w:szCs w:val="24"/>
                <w:highlight w:val="none"/>
              </w:rPr>
            </w:pPr>
            <w:r>
              <w:rPr>
                <w:rFonts w:ascii="Times New Roman" w:hAnsi="Times New Roman"/>
                <w:color w:val="auto"/>
                <w:kern w:val="0"/>
                <w:sz w:val="24"/>
                <w:szCs w:val="24"/>
                <w:highlight w:val="none"/>
              </w:rPr>
              <w:t>1</w:t>
            </w:r>
          </w:p>
        </w:tc>
        <w:tc>
          <w:tcPr>
            <w:tcW w:w="1822" w:type="pct"/>
            <w:shd w:val="clear" w:color="auto" w:fill="auto"/>
            <w:vAlign w:val="center"/>
          </w:tcPr>
          <w:p w14:paraId="351D06D3">
            <w:pPr>
              <w:widowControl/>
              <w:spacing w:line="360" w:lineRule="auto"/>
              <w:jc w:val="center"/>
              <w:rPr>
                <w:rFonts w:ascii="Times New Roman" w:hAnsi="Times New Roman"/>
                <w:color w:val="auto"/>
                <w:kern w:val="0"/>
                <w:sz w:val="24"/>
                <w:szCs w:val="24"/>
                <w:highlight w:val="none"/>
              </w:rPr>
            </w:pPr>
          </w:p>
        </w:tc>
      </w:tr>
      <w:tr w14:paraId="3E941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360" w:type="pct"/>
            <w:shd w:val="clear" w:color="auto" w:fill="auto"/>
            <w:vAlign w:val="center"/>
          </w:tcPr>
          <w:p w14:paraId="74543285">
            <w:pPr>
              <w:widowControl/>
              <w:spacing w:line="360" w:lineRule="auto"/>
              <w:jc w:val="center"/>
              <w:rPr>
                <w:rFonts w:ascii="Times New Roman" w:hAnsi="Times New Roman"/>
                <w:color w:val="auto"/>
                <w:kern w:val="0"/>
                <w:sz w:val="24"/>
                <w:szCs w:val="24"/>
                <w:highlight w:val="none"/>
              </w:rPr>
            </w:pPr>
            <w:r>
              <w:rPr>
                <w:rFonts w:ascii="Times New Roman" w:hAnsi="Times New Roman"/>
                <w:color w:val="auto"/>
                <w:kern w:val="0"/>
                <w:sz w:val="24"/>
                <w:szCs w:val="24"/>
                <w:highlight w:val="none"/>
              </w:rPr>
              <w:t>3.4</w:t>
            </w:r>
          </w:p>
        </w:tc>
        <w:tc>
          <w:tcPr>
            <w:tcW w:w="2187" w:type="pct"/>
            <w:shd w:val="clear" w:color="auto" w:fill="auto"/>
            <w:vAlign w:val="center"/>
          </w:tcPr>
          <w:p w14:paraId="5ED4542A">
            <w:pPr>
              <w:widowControl/>
              <w:spacing w:line="360" w:lineRule="auto"/>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配电箱</w:t>
            </w:r>
            <w:r>
              <w:rPr>
                <w:rFonts w:ascii="Times New Roman" w:hAnsi="Times New Roman"/>
                <w:color w:val="auto"/>
                <w:kern w:val="0"/>
                <w:sz w:val="24"/>
                <w:szCs w:val="24"/>
                <w:highlight w:val="none"/>
              </w:rPr>
              <w:t>2</w:t>
            </w:r>
            <w:r>
              <w:rPr>
                <w:rFonts w:hint="eastAsia" w:ascii="Times New Roman" w:hAnsi="Times New Roman"/>
                <w:color w:val="auto"/>
                <w:kern w:val="0"/>
                <w:sz w:val="24"/>
                <w:szCs w:val="24"/>
                <w:highlight w:val="none"/>
              </w:rPr>
              <w:t>：</w:t>
            </w:r>
            <w:r>
              <w:rPr>
                <w:rFonts w:ascii="Times New Roman" w:hAnsi="Times New Roman"/>
                <w:color w:val="auto"/>
                <w:kern w:val="0"/>
                <w:sz w:val="24"/>
                <w:szCs w:val="24"/>
                <w:highlight w:val="none"/>
              </w:rPr>
              <w:t>AC-380V-1</w:t>
            </w:r>
          </w:p>
        </w:tc>
        <w:tc>
          <w:tcPr>
            <w:tcW w:w="314" w:type="pct"/>
            <w:shd w:val="clear" w:color="auto" w:fill="auto"/>
            <w:vAlign w:val="center"/>
          </w:tcPr>
          <w:p w14:paraId="0F95E8CC">
            <w:pPr>
              <w:widowControl/>
              <w:spacing w:line="360" w:lineRule="auto"/>
              <w:jc w:val="center"/>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个</w:t>
            </w:r>
          </w:p>
        </w:tc>
        <w:tc>
          <w:tcPr>
            <w:tcW w:w="318" w:type="pct"/>
            <w:shd w:val="clear" w:color="auto" w:fill="auto"/>
            <w:vAlign w:val="center"/>
          </w:tcPr>
          <w:p w14:paraId="7B51DD50">
            <w:pPr>
              <w:widowControl/>
              <w:spacing w:line="360" w:lineRule="auto"/>
              <w:jc w:val="center"/>
              <w:rPr>
                <w:rFonts w:ascii="Times New Roman" w:hAnsi="Times New Roman"/>
                <w:color w:val="auto"/>
                <w:kern w:val="0"/>
                <w:sz w:val="24"/>
                <w:szCs w:val="24"/>
                <w:highlight w:val="none"/>
              </w:rPr>
            </w:pPr>
            <w:r>
              <w:rPr>
                <w:rFonts w:ascii="Times New Roman" w:hAnsi="Times New Roman"/>
                <w:color w:val="auto"/>
                <w:kern w:val="0"/>
                <w:sz w:val="24"/>
                <w:szCs w:val="24"/>
                <w:highlight w:val="none"/>
              </w:rPr>
              <w:t>1</w:t>
            </w:r>
          </w:p>
        </w:tc>
        <w:tc>
          <w:tcPr>
            <w:tcW w:w="1822" w:type="pct"/>
            <w:shd w:val="clear" w:color="auto" w:fill="auto"/>
            <w:vAlign w:val="center"/>
          </w:tcPr>
          <w:p w14:paraId="1FD8D942">
            <w:pPr>
              <w:widowControl/>
              <w:spacing w:line="360" w:lineRule="auto"/>
              <w:jc w:val="center"/>
              <w:rPr>
                <w:rFonts w:ascii="Times New Roman" w:hAnsi="Times New Roman"/>
                <w:color w:val="auto"/>
                <w:kern w:val="0"/>
                <w:sz w:val="24"/>
                <w:szCs w:val="24"/>
                <w:highlight w:val="none"/>
              </w:rPr>
            </w:pPr>
          </w:p>
        </w:tc>
      </w:tr>
      <w:tr w14:paraId="00338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360" w:type="pct"/>
            <w:shd w:val="clear" w:color="auto" w:fill="auto"/>
            <w:vAlign w:val="center"/>
          </w:tcPr>
          <w:p w14:paraId="05CE52A8">
            <w:pPr>
              <w:widowControl/>
              <w:spacing w:line="360" w:lineRule="auto"/>
              <w:jc w:val="center"/>
              <w:rPr>
                <w:rFonts w:ascii="Times New Roman" w:hAnsi="Times New Roman"/>
                <w:color w:val="auto"/>
                <w:kern w:val="0"/>
                <w:sz w:val="24"/>
                <w:szCs w:val="24"/>
                <w:highlight w:val="none"/>
              </w:rPr>
            </w:pPr>
            <w:r>
              <w:rPr>
                <w:rFonts w:ascii="Times New Roman" w:hAnsi="Times New Roman"/>
                <w:color w:val="auto"/>
                <w:kern w:val="0"/>
                <w:sz w:val="24"/>
                <w:szCs w:val="24"/>
                <w:highlight w:val="none"/>
              </w:rPr>
              <w:t>3.5</w:t>
            </w:r>
          </w:p>
        </w:tc>
        <w:tc>
          <w:tcPr>
            <w:tcW w:w="2187" w:type="pct"/>
            <w:shd w:val="clear" w:color="auto" w:fill="auto"/>
            <w:vAlign w:val="center"/>
          </w:tcPr>
          <w:p w14:paraId="6987F96A">
            <w:pPr>
              <w:widowControl/>
              <w:spacing w:line="360" w:lineRule="auto"/>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配电箱</w:t>
            </w:r>
            <w:r>
              <w:rPr>
                <w:rFonts w:ascii="Times New Roman" w:hAnsi="Times New Roman"/>
                <w:color w:val="auto"/>
                <w:kern w:val="0"/>
                <w:sz w:val="24"/>
                <w:szCs w:val="24"/>
                <w:highlight w:val="none"/>
              </w:rPr>
              <w:t>3</w:t>
            </w:r>
            <w:r>
              <w:rPr>
                <w:rFonts w:hint="eastAsia" w:ascii="Times New Roman" w:hAnsi="Times New Roman"/>
                <w:color w:val="auto"/>
                <w:kern w:val="0"/>
                <w:sz w:val="24"/>
                <w:szCs w:val="24"/>
                <w:highlight w:val="none"/>
              </w:rPr>
              <w:t>：</w:t>
            </w:r>
            <w:r>
              <w:rPr>
                <w:rFonts w:ascii="Times New Roman" w:hAnsi="Times New Roman"/>
                <w:color w:val="auto"/>
                <w:kern w:val="0"/>
                <w:sz w:val="24"/>
                <w:szCs w:val="24"/>
                <w:highlight w:val="none"/>
              </w:rPr>
              <w:t>AC-380V-2</w:t>
            </w:r>
          </w:p>
        </w:tc>
        <w:tc>
          <w:tcPr>
            <w:tcW w:w="314" w:type="pct"/>
            <w:shd w:val="clear" w:color="auto" w:fill="auto"/>
            <w:vAlign w:val="center"/>
          </w:tcPr>
          <w:p w14:paraId="08BFCB8E">
            <w:pPr>
              <w:widowControl/>
              <w:spacing w:line="360" w:lineRule="auto"/>
              <w:jc w:val="center"/>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个</w:t>
            </w:r>
          </w:p>
        </w:tc>
        <w:tc>
          <w:tcPr>
            <w:tcW w:w="318" w:type="pct"/>
            <w:shd w:val="clear" w:color="auto" w:fill="auto"/>
            <w:vAlign w:val="center"/>
          </w:tcPr>
          <w:p w14:paraId="10B9C02B">
            <w:pPr>
              <w:widowControl/>
              <w:spacing w:line="360" w:lineRule="auto"/>
              <w:jc w:val="center"/>
              <w:rPr>
                <w:rFonts w:ascii="Times New Roman" w:hAnsi="Times New Roman"/>
                <w:color w:val="auto"/>
                <w:kern w:val="0"/>
                <w:sz w:val="24"/>
                <w:szCs w:val="24"/>
                <w:highlight w:val="none"/>
              </w:rPr>
            </w:pPr>
            <w:r>
              <w:rPr>
                <w:rFonts w:ascii="Times New Roman" w:hAnsi="Times New Roman"/>
                <w:color w:val="auto"/>
                <w:kern w:val="0"/>
                <w:sz w:val="24"/>
                <w:szCs w:val="24"/>
                <w:highlight w:val="none"/>
              </w:rPr>
              <w:t>1</w:t>
            </w:r>
          </w:p>
        </w:tc>
        <w:tc>
          <w:tcPr>
            <w:tcW w:w="1822" w:type="pct"/>
            <w:shd w:val="clear" w:color="auto" w:fill="auto"/>
            <w:vAlign w:val="center"/>
          </w:tcPr>
          <w:p w14:paraId="7EEC0B9B">
            <w:pPr>
              <w:widowControl/>
              <w:spacing w:line="360" w:lineRule="auto"/>
              <w:jc w:val="center"/>
              <w:rPr>
                <w:rFonts w:ascii="Times New Roman" w:hAnsi="Times New Roman"/>
                <w:color w:val="auto"/>
                <w:kern w:val="0"/>
                <w:sz w:val="24"/>
                <w:szCs w:val="24"/>
                <w:highlight w:val="none"/>
              </w:rPr>
            </w:pPr>
          </w:p>
        </w:tc>
      </w:tr>
      <w:tr w14:paraId="38C65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360" w:type="pct"/>
            <w:shd w:val="clear" w:color="auto" w:fill="auto"/>
            <w:vAlign w:val="center"/>
          </w:tcPr>
          <w:p w14:paraId="286841EE">
            <w:pPr>
              <w:widowControl/>
              <w:spacing w:line="360" w:lineRule="auto"/>
              <w:jc w:val="center"/>
              <w:rPr>
                <w:rFonts w:ascii="Times New Roman" w:hAnsi="Times New Roman"/>
                <w:color w:val="auto"/>
                <w:kern w:val="0"/>
                <w:sz w:val="24"/>
                <w:szCs w:val="24"/>
                <w:highlight w:val="none"/>
              </w:rPr>
            </w:pPr>
            <w:r>
              <w:rPr>
                <w:rFonts w:ascii="Times New Roman" w:hAnsi="Times New Roman"/>
                <w:color w:val="auto"/>
                <w:kern w:val="0"/>
                <w:sz w:val="24"/>
                <w:szCs w:val="24"/>
                <w:highlight w:val="none"/>
              </w:rPr>
              <w:t>3.6</w:t>
            </w:r>
          </w:p>
        </w:tc>
        <w:tc>
          <w:tcPr>
            <w:tcW w:w="2187" w:type="pct"/>
            <w:shd w:val="clear" w:color="auto" w:fill="auto"/>
            <w:vAlign w:val="center"/>
          </w:tcPr>
          <w:p w14:paraId="49217093">
            <w:pPr>
              <w:widowControl/>
              <w:spacing w:line="360" w:lineRule="auto"/>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配电箱</w:t>
            </w:r>
            <w:r>
              <w:rPr>
                <w:rFonts w:ascii="Times New Roman" w:hAnsi="Times New Roman"/>
                <w:color w:val="auto"/>
                <w:kern w:val="0"/>
                <w:sz w:val="24"/>
                <w:szCs w:val="24"/>
                <w:highlight w:val="none"/>
              </w:rPr>
              <w:t>DC-192V</w:t>
            </w:r>
          </w:p>
        </w:tc>
        <w:tc>
          <w:tcPr>
            <w:tcW w:w="314" w:type="pct"/>
            <w:shd w:val="clear" w:color="auto" w:fill="auto"/>
            <w:vAlign w:val="center"/>
          </w:tcPr>
          <w:p w14:paraId="1A769136">
            <w:pPr>
              <w:widowControl/>
              <w:spacing w:line="360" w:lineRule="auto"/>
              <w:jc w:val="center"/>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个</w:t>
            </w:r>
          </w:p>
        </w:tc>
        <w:tc>
          <w:tcPr>
            <w:tcW w:w="318" w:type="pct"/>
            <w:shd w:val="clear" w:color="auto" w:fill="auto"/>
            <w:vAlign w:val="center"/>
          </w:tcPr>
          <w:p w14:paraId="65B9716D">
            <w:pPr>
              <w:widowControl/>
              <w:spacing w:line="360" w:lineRule="auto"/>
              <w:jc w:val="center"/>
              <w:rPr>
                <w:rFonts w:ascii="Times New Roman" w:hAnsi="Times New Roman"/>
                <w:color w:val="auto"/>
                <w:kern w:val="0"/>
                <w:sz w:val="24"/>
                <w:szCs w:val="24"/>
                <w:highlight w:val="none"/>
              </w:rPr>
            </w:pPr>
            <w:r>
              <w:rPr>
                <w:rFonts w:ascii="Times New Roman" w:hAnsi="Times New Roman"/>
                <w:color w:val="auto"/>
                <w:kern w:val="0"/>
                <w:sz w:val="24"/>
                <w:szCs w:val="24"/>
                <w:highlight w:val="none"/>
              </w:rPr>
              <w:t>1</w:t>
            </w:r>
          </w:p>
        </w:tc>
        <w:tc>
          <w:tcPr>
            <w:tcW w:w="1822" w:type="pct"/>
            <w:shd w:val="clear" w:color="auto" w:fill="auto"/>
            <w:vAlign w:val="center"/>
          </w:tcPr>
          <w:p w14:paraId="2B4099F5">
            <w:pPr>
              <w:widowControl/>
              <w:spacing w:line="360" w:lineRule="auto"/>
              <w:jc w:val="center"/>
              <w:rPr>
                <w:rFonts w:ascii="Times New Roman" w:hAnsi="Times New Roman"/>
                <w:color w:val="auto"/>
                <w:kern w:val="0"/>
                <w:sz w:val="24"/>
                <w:szCs w:val="24"/>
                <w:highlight w:val="none"/>
              </w:rPr>
            </w:pPr>
          </w:p>
        </w:tc>
      </w:tr>
      <w:tr w14:paraId="1839A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360" w:type="pct"/>
            <w:shd w:val="clear" w:color="auto" w:fill="auto"/>
            <w:vAlign w:val="center"/>
          </w:tcPr>
          <w:p w14:paraId="00DBCEC2">
            <w:pPr>
              <w:widowControl/>
              <w:spacing w:line="360" w:lineRule="auto"/>
              <w:jc w:val="center"/>
              <w:rPr>
                <w:rFonts w:ascii="Times New Roman" w:hAnsi="Times New Roman"/>
                <w:color w:val="auto"/>
                <w:kern w:val="0"/>
                <w:sz w:val="24"/>
                <w:szCs w:val="24"/>
                <w:highlight w:val="none"/>
              </w:rPr>
            </w:pPr>
            <w:r>
              <w:rPr>
                <w:rFonts w:ascii="Times New Roman" w:hAnsi="Times New Roman"/>
                <w:color w:val="auto"/>
                <w:kern w:val="0"/>
                <w:sz w:val="24"/>
                <w:szCs w:val="24"/>
                <w:highlight w:val="none"/>
              </w:rPr>
              <w:t>3.7</w:t>
            </w:r>
          </w:p>
        </w:tc>
        <w:tc>
          <w:tcPr>
            <w:tcW w:w="2187" w:type="pct"/>
            <w:shd w:val="clear" w:color="auto" w:fill="auto"/>
            <w:vAlign w:val="center"/>
          </w:tcPr>
          <w:p w14:paraId="0465C3FB">
            <w:pPr>
              <w:widowControl/>
              <w:spacing w:line="360" w:lineRule="auto"/>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系统内部监控设施</w:t>
            </w:r>
          </w:p>
        </w:tc>
        <w:tc>
          <w:tcPr>
            <w:tcW w:w="314" w:type="pct"/>
            <w:shd w:val="clear" w:color="auto" w:fill="auto"/>
            <w:vAlign w:val="center"/>
          </w:tcPr>
          <w:p w14:paraId="6A8B5F4A">
            <w:pPr>
              <w:widowControl/>
              <w:spacing w:line="360" w:lineRule="auto"/>
              <w:jc w:val="center"/>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套</w:t>
            </w:r>
          </w:p>
        </w:tc>
        <w:tc>
          <w:tcPr>
            <w:tcW w:w="318" w:type="pct"/>
            <w:shd w:val="clear" w:color="auto" w:fill="auto"/>
            <w:vAlign w:val="center"/>
          </w:tcPr>
          <w:p w14:paraId="2D625C3F">
            <w:pPr>
              <w:widowControl/>
              <w:spacing w:line="360" w:lineRule="auto"/>
              <w:jc w:val="center"/>
              <w:rPr>
                <w:rFonts w:ascii="Times New Roman" w:hAnsi="Times New Roman"/>
                <w:color w:val="auto"/>
                <w:kern w:val="0"/>
                <w:sz w:val="24"/>
                <w:szCs w:val="24"/>
                <w:highlight w:val="none"/>
              </w:rPr>
            </w:pPr>
            <w:r>
              <w:rPr>
                <w:rFonts w:ascii="Times New Roman" w:hAnsi="Times New Roman"/>
                <w:color w:val="auto"/>
                <w:kern w:val="0"/>
                <w:sz w:val="24"/>
                <w:szCs w:val="24"/>
                <w:highlight w:val="none"/>
              </w:rPr>
              <w:t>1</w:t>
            </w:r>
          </w:p>
        </w:tc>
        <w:tc>
          <w:tcPr>
            <w:tcW w:w="1822" w:type="pct"/>
            <w:shd w:val="clear" w:color="auto" w:fill="auto"/>
            <w:vAlign w:val="center"/>
          </w:tcPr>
          <w:p w14:paraId="350C565A">
            <w:pPr>
              <w:widowControl/>
              <w:spacing w:line="360" w:lineRule="auto"/>
              <w:jc w:val="center"/>
              <w:rPr>
                <w:rFonts w:ascii="Times New Roman" w:hAnsi="Times New Roman"/>
                <w:color w:val="auto"/>
                <w:kern w:val="0"/>
                <w:sz w:val="24"/>
                <w:szCs w:val="24"/>
                <w:highlight w:val="none"/>
              </w:rPr>
            </w:pPr>
          </w:p>
        </w:tc>
      </w:tr>
      <w:tr w14:paraId="2E114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360" w:type="pct"/>
            <w:shd w:val="clear" w:color="auto" w:fill="auto"/>
            <w:vAlign w:val="center"/>
          </w:tcPr>
          <w:p w14:paraId="579BDC5B">
            <w:pPr>
              <w:widowControl/>
              <w:spacing w:line="360" w:lineRule="auto"/>
              <w:jc w:val="center"/>
              <w:rPr>
                <w:rFonts w:ascii="Times New Roman" w:hAnsi="Times New Roman"/>
                <w:color w:val="auto"/>
                <w:kern w:val="0"/>
                <w:sz w:val="24"/>
                <w:szCs w:val="24"/>
                <w:highlight w:val="none"/>
              </w:rPr>
            </w:pPr>
            <w:r>
              <w:rPr>
                <w:rFonts w:ascii="Times New Roman" w:hAnsi="Times New Roman"/>
                <w:color w:val="auto"/>
                <w:kern w:val="0"/>
                <w:sz w:val="24"/>
                <w:szCs w:val="24"/>
                <w:highlight w:val="none"/>
              </w:rPr>
              <w:t>3.8</w:t>
            </w:r>
          </w:p>
        </w:tc>
        <w:tc>
          <w:tcPr>
            <w:tcW w:w="2187" w:type="pct"/>
            <w:shd w:val="clear" w:color="auto" w:fill="auto"/>
            <w:vAlign w:val="center"/>
          </w:tcPr>
          <w:p w14:paraId="14D56D80">
            <w:pPr>
              <w:widowControl/>
              <w:spacing w:line="360" w:lineRule="auto"/>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电力电缆及配件</w:t>
            </w:r>
          </w:p>
        </w:tc>
        <w:tc>
          <w:tcPr>
            <w:tcW w:w="314" w:type="pct"/>
            <w:shd w:val="clear" w:color="auto" w:fill="auto"/>
            <w:vAlign w:val="center"/>
          </w:tcPr>
          <w:p w14:paraId="6935CACD">
            <w:pPr>
              <w:widowControl/>
              <w:spacing w:line="360" w:lineRule="auto"/>
              <w:jc w:val="center"/>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套</w:t>
            </w:r>
          </w:p>
        </w:tc>
        <w:tc>
          <w:tcPr>
            <w:tcW w:w="318" w:type="pct"/>
            <w:shd w:val="clear" w:color="auto" w:fill="auto"/>
            <w:vAlign w:val="center"/>
          </w:tcPr>
          <w:p w14:paraId="60F9002C">
            <w:pPr>
              <w:widowControl/>
              <w:spacing w:line="360" w:lineRule="auto"/>
              <w:jc w:val="center"/>
              <w:rPr>
                <w:rFonts w:ascii="Times New Roman" w:hAnsi="Times New Roman"/>
                <w:color w:val="auto"/>
                <w:kern w:val="0"/>
                <w:sz w:val="24"/>
                <w:szCs w:val="24"/>
                <w:highlight w:val="none"/>
              </w:rPr>
            </w:pPr>
            <w:r>
              <w:rPr>
                <w:rFonts w:ascii="Times New Roman" w:hAnsi="Times New Roman"/>
                <w:color w:val="auto"/>
                <w:kern w:val="0"/>
                <w:sz w:val="24"/>
                <w:szCs w:val="24"/>
                <w:highlight w:val="none"/>
              </w:rPr>
              <w:t>1</w:t>
            </w:r>
          </w:p>
        </w:tc>
        <w:tc>
          <w:tcPr>
            <w:tcW w:w="1822" w:type="pct"/>
            <w:shd w:val="clear" w:color="auto" w:fill="auto"/>
            <w:vAlign w:val="center"/>
          </w:tcPr>
          <w:p w14:paraId="3E1BEF35">
            <w:pPr>
              <w:widowControl/>
              <w:spacing w:line="360" w:lineRule="auto"/>
              <w:jc w:val="center"/>
              <w:rPr>
                <w:rFonts w:ascii="Times New Roman" w:hAnsi="Times New Roman"/>
                <w:color w:val="auto"/>
                <w:kern w:val="0"/>
                <w:sz w:val="24"/>
                <w:szCs w:val="24"/>
                <w:highlight w:val="none"/>
              </w:rPr>
            </w:pPr>
          </w:p>
        </w:tc>
      </w:tr>
      <w:tr w14:paraId="13872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360" w:type="pct"/>
            <w:shd w:val="clear" w:color="auto" w:fill="auto"/>
            <w:vAlign w:val="center"/>
          </w:tcPr>
          <w:p w14:paraId="7D053BCD">
            <w:pPr>
              <w:widowControl/>
              <w:spacing w:line="360" w:lineRule="auto"/>
              <w:jc w:val="center"/>
              <w:rPr>
                <w:rFonts w:ascii="Times New Roman" w:hAnsi="Times New Roman"/>
                <w:color w:val="auto"/>
                <w:kern w:val="0"/>
                <w:sz w:val="24"/>
                <w:szCs w:val="24"/>
                <w:highlight w:val="none"/>
              </w:rPr>
            </w:pPr>
            <w:r>
              <w:rPr>
                <w:rFonts w:ascii="Times New Roman" w:hAnsi="Times New Roman"/>
                <w:color w:val="auto"/>
                <w:kern w:val="0"/>
                <w:sz w:val="24"/>
                <w:szCs w:val="24"/>
                <w:highlight w:val="none"/>
              </w:rPr>
              <w:t>3.9</w:t>
            </w:r>
          </w:p>
        </w:tc>
        <w:tc>
          <w:tcPr>
            <w:tcW w:w="2187" w:type="pct"/>
            <w:shd w:val="clear" w:color="auto" w:fill="auto"/>
            <w:noWrap/>
            <w:vAlign w:val="center"/>
          </w:tcPr>
          <w:p w14:paraId="7C29219D">
            <w:pPr>
              <w:widowControl/>
              <w:spacing w:line="360" w:lineRule="auto"/>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通信配套设备</w:t>
            </w:r>
          </w:p>
        </w:tc>
        <w:tc>
          <w:tcPr>
            <w:tcW w:w="314" w:type="pct"/>
            <w:shd w:val="clear" w:color="auto" w:fill="auto"/>
            <w:vAlign w:val="center"/>
          </w:tcPr>
          <w:p w14:paraId="6D9CB6C6">
            <w:pPr>
              <w:widowControl/>
              <w:spacing w:line="360" w:lineRule="auto"/>
              <w:jc w:val="center"/>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套</w:t>
            </w:r>
          </w:p>
        </w:tc>
        <w:tc>
          <w:tcPr>
            <w:tcW w:w="318" w:type="pct"/>
            <w:shd w:val="clear" w:color="auto" w:fill="auto"/>
            <w:vAlign w:val="center"/>
          </w:tcPr>
          <w:p w14:paraId="52F6722C">
            <w:pPr>
              <w:widowControl/>
              <w:spacing w:line="360" w:lineRule="auto"/>
              <w:jc w:val="center"/>
              <w:rPr>
                <w:rFonts w:ascii="Times New Roman" w:hAnsi="Times New Roman"/>
                <w:color w:val="auto"/>
                <w:kern w:val="0"/>
                <w:sz w:val="24"/>
                <w:szCs w:val="24"/>
                <w:highlight w:val="none"/>
              </w:rPr>
            </w:pPr>
            <w:r>
              <w:rPr>
                <w:rFonts w:ascii="Times New Roman" w:hAnsi="Times New Roman"/>
                <w:color w:val="auto"/>
                <w:kern w:val="0"/>
                <w:sz w:val="24"/>
                <w:szCs w:val="24"/>
                <w:highlight w:val="none"/>
              </w:rPr>
              <w:t>1</w:t>
            </w:r>
          </w:p>
        </w:tc>
        <w:tc>
          <w:tcPr>
            <w:tcW w:w="1822" w:type="pct"/>
            <w:shd w:val="clear" w:color="auto" w:fill="auto"/>
            <w:vAlign w:val="center"/>
          </w:tcPr>
          <w:p w14:paraId="0ABD1D2A">
            <w:pPr>
              <w:widowControl/>
              <w:spacing w:line="360" w:lineRule="auto"/>
              <w:jc w:val="center"/>
              <w:rPr>
                <w:rFonts w:ascii="Times New Roman" w:hAnsi="Times New Roman"/>
                <w:color w:val="auto"/>
                <w:kern w:val="0"/>
                <w:sz w:val="24"/>
                <w:szCs w:val="24"/>
                <w:highlight w:val="none"/>
              </w:rPr>
            </w:pPr>
          </w:p>
        </w:tc>
      </w:tr>
      <w:tr w14:paraId="0258A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360" w:type="pct"/>
            <w:shd w:val="clear" w:color="auto" w:fill="auto"/>
            <w:vAlign w:val="center"/>
          </w:tcPr>
          <w:p w14:paraId="59F2CC0F">
            <w:pPr>
              <w:widowControl/>
              <w:spacing w:line="360" w:lineRule="auto"/>
              <w:jc w:val="center"/>
              <w:rPr>
                <w:rFonts w:ascii="Times New Roman" w:hAnsi="Times New Roman"/>
                <w:color w:val="auto"/>
                <w:kern w:val="0"/>
                <w:sz w:val="24"/>
                <w:szCs w:val="24"/>
                <w:highlight w:val="none"/>
              </w:rPr>
            </w:pPr>
            <w:r>
              <w:rPr>
                <w:rFonts w:ascii="Times New Roman" w:hAnsi="Times New Roman"/>
                <w:color w:val="auto"/>
                <w:kern w:val="0"/>
                <w:sz w:val="24"/>
                <w:szCs w:val="24"/>
                <w:highlight w:val="none"/>
              </w:rPr>
              <w:t>3.10</w:t>
            </w:r>
          </w:p>
        </w:tc>
        <w:tc>
          <w:tcPr>
            <w:tcW w:w="2187" w:type="pct"/>
            <w:shd w:val="clear" w:color="auto" w:fill="auto"/>
            <w:vAlign w:val="center"/>
          </w:tcPr>
          <w:p w14:paraId="3729E4CA">
            <w:pPr>
              <w:widowControl/>
              <w:spacing w:line="360" w:lineRule="auto"/>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通信电缆及配件</w:t>
            </w:r>
          </w:p>
        </w:tc>
        <w:tc>
          <w:tcPr>
            <w:tcW w:w="314" w:type="pct"/>
            <w:shd w:val="clear" w:color="auto" w:fill="auto"/>
            <w:vAlign w:val="center"/>
          </w:tcPr>
          <w:p w14:paraId="513B0283">
            <w:pPr>
              <w:widowControl/>
              <w:spacing w:line="360" w:lineRule="auto"/>
              <w:jc w:val="center"/>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套</w:t>
            </w:r>
          </w:p>
        </w:tc>
        <w:tc>
          <w:tcPr>
            <w:tcW w:w="318" w:type="pct"/>
            <w:shd w:val="clear" w:color="auto" w:fill="auto"/>
            <w:vAlign w:val="center"/>
          </w:tcPr>
          <w:p w14:paraId="2931CF5D">
            <w:pPr>
              <w:widowControl/>
              <w:spacing w:line="360" w:lineRule="auto"/>
              <w:jc w:val="center"/>
              <w:rPr>
                <w:rFonts w:ascii="Times New Roman" w:hAnsi="Times New Roman"/>
                <w:color w:val="auto"/>
                <w:kern w:val="0"/>
                <w:sz w:val="24"/>
                <w:szCs w:val="24"/>
                <w:highlight w:val="none"/>
              </w:rPr>
            </w:pPr>
            <w:r>
              <w:rPr>
                <w:rFonts w:ascii="Times New Roman" w:hAnsi="Times New Roman"/>
                <w:color w:val="auto"/>
                <w:kern w:val="0"/>
                <w:sz w:val="24"/>
                <w:szCs w:val="24"/>
                <w:highlight w:val="none"/>
              </w:rPr>
              <w:t>1</w:t>
            </w:r>
          </w:p>
        </w:tc>
        <w:tc>
          <w:tcPr>
            <w:tcW w:w="1822" w:type="pct"/>
            <w:shd w:val="clear" w:color="auto" w:fill="auto"/>
            <w:vAlign w:val="center"/>
          </w:tcPr>
          <w:p w14:paraId="02FFCAD0">
            <w:pPr>
              <w:widowControl/>
              <w:spacing w:line="360" w:lineRule="auto"/>
              <w:jc w:val="center"/>
              <w:rPr>
                <w:rFonts w:ascii="Times New Roman" w:hAnsi="Times New Roman"/>
                <w:color w:val="auto"/>
                <w:kern w:val="0"/>
                <w:sz w:val="24"/>
                <w:szCs w:val="24"/>
                <w:highlight w:val="none"/>
              </w:rPr>
            </w:pPr>
          </w:p>
        </w:tc>
      </w:tr>
      <w:tr w14:paraId="14C22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360" w:type="pct"/>
            <w:shd w:val="clear" w:color="auto" w:fill="auto"/>
            <w:vAlign w:val="center"/>
          </w:tcPr>
          <w:p w14:paraId="4BD637FE">
            <w:pPr>
              <w:widowControl/>
              <w:spacing w:line="360" w:lineRule="auto"/>
              <w:jc w:val="center"/>
              <w:rPr>
                <w:rFonts w:ascii="Times New Roman" w:hAnsi="Times New Roman"/>
                <w:color w:val="auto"/>
                <w:kern w:val="0"/>
                <w:sz w:val="24"/>
                <w:szCs w:val="24"/>
                <w:highlight w:val="none"/>
              </w:rPr>
            </w:pPr>
            <w:r>
              <w:rPr>
                <w:rFonts w:ascii="Times New Roman" w:hAnsi="Times New Roman"/>
                <w:color w:val="auto"/>
                <w:kern w:val="0"/>
                <w:sz w:val="24"/>
                <w:szCs w:val="24"/>
                <w:highlight w:val="none"/>
              </w:rPr>
              <w:t>3.11</w:t>
            </w:r>
          </w:p>
        </w:tc>
        <w:tc>
          <w:tcPr>
            <w:tcW w:w="2187" w:type="pct"/>
            <w:shd w:val="clear" w:color="auto" w:fill="auto"/>
            <w:vAlign w:val="center"/>
          </w:tcPr>
          <w:p w14:paraId="3BCE1A04">
            <w:pPr>
              <w:widowControl/>
              <w:spacing w:line="360" w:lineRule="auto"/>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雷达站视频监控设施</w:t>
            </w:r>
          </w:p>
        </w:tc>
        <w:tc>
          <w:tcPr>
            <w:tcW w:w="314" w:type="pct"/>
            <w:shd w:val="clear" w:color="auto" w:fill="auto"/>
            <w:vAlign w:val="center"/>
          </w:tcPr>
          <w:p w14:paraId="0927D04B">
            <w:pPr>
              <w:widowControl/>
              <w:spacing w:line="360" w:lineRule="auto"/>
              <w:jc w:val="center"/>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项</w:t>
            </w:r>
          </w:p>
        </w:tc>
        <w:tc>
          <w:tcPr>
            <w:tcW w:w="318" w:type="pct"/>
            <w:shd w:val="clear" w:color="auto" w:fill="auto"/>
            <w:vAlign w:val="center"/>
          </w:tcPr>
          <w:p w14:paraId="4F6BA53F">
            <w:pPr>
              <w:widowControl/>
              <w:spacing w:line="360" w:lineRule="auto"/>
              <w:jc w:val="center"/>
              <w:rPr>
                <w:rFonts w:ascii="Times New Roman" w:hAnsi="Times New Roman"/>
                <w:color w:val="auto"/>
                <w:kern w:val="0"/>
                <w:sz w:val="24"/>
                <w:szCs w:val="24"/>
                <w:highlight w:val="none"/>
              </w:rPr>
            </w:pPr>
            <w:r>
              <w:rPr>
                <w:rFonts w:ascii="Times New Roman" w:hAnsi="Times New Roman"/>
                <w:color w:val="auto"/>
                <w:kern w:val="0"/>
                <w:sz w:val="24"/>
                <w:szCs w:val="24"/>
                <w:highlight w:val="none"/>
              </w:rPr>
              <w:t>1</w:t>
            </w:r>
          </w:p>
        </w:tc>
        <w:tc>
          <w:tcPr>
            <w:tcW w:w="1822" w:type="pct"/>
            <w:shd w:val="clear" w:color="auto" w:fill="auto"/>
            <w:vAlign w:val="center"/>
          </w:tcPr>
          <w:p w14:paraId="4FB8E867">
            <w:pPr>
              <w:widowControl/>
              <w:spacing w:line="360" w:lineRule="auto"/>
              <w:rPr>
                <w:rFonts w:ascii="Times New Roman" w:hAnsi="Times New Roman"/>
                <w:color w:val="auto"/>
                <w:kern w:val="0"/>
                <w:sz w:val="24"/>
                <w:szCs w:val="24"/>
                <w:highlight w:val="none"/>
              </w:rPr>
            </w:pPr>
          </w:p>
        </w:tc>
      </w:tr>
    </w:tbl>
    <w:p w14:paraId="5F41A7DF">
      <w:pPr>
        <w:tabs>
          <w:tab w:val="left" w:pos="2340"/>
        </w:tabs>
        <w:spacing w:line="360" w:lineRule="auto"/>
        <w:rPr>
          <w:rFonts w:ascii="Times New Roman" w:hAnsi="Times New Roman"/>
          <w:b/>
          <w:color w:val="auto"/>
          <w:kern w:val="0"/>
          <w:sz w:val="24"/>
          <w:szCs w:val="24"/>
          <w:highlight w:val="none"/>
        </w:rPr>
      </w:pPr>
      <w:r>
        <w:rPr>
          <w:rFonts w:hint="eastAsia" w:ascii="Times New Roman" w:hAnsi="Times New Roman"/>
          <w:b/>
          <w:color w:val="auto"/>
          <w:kern w:val="0"/>
          <w:sz w:val="24"/>
          <w:szCs w:val="24"/>
          <w:highlight w:val="none"/>
        </w:rPr>
        <w:t>注：</w:t>
      </w:r>
      <w:r>
        <w:rPr>
          <w:rFonts w:ascii="Times New Roman" w:hAnsi="Times New Roman"/>
          <w:b/>
          <w:color w:val="auto"/>
          <w:kern w:val="0"/>
          <w:sz w:val="24"/>
          <w:szCs w:val="24"/>
          <w:highlight w:val="none"/>
        </w:rPr>
        <w:t>1.</w:t>
      </w:r>
      <w:r>
        <w:rPr>
          <w:rFonts w:hint="eastAsia" w:ascii="Times New Roman" w:hAnsi="Times New Roman"/>
          <w:b/>
          <w:color w:val="auto"/>
          <w:kern w:val="0"/>
          <w:sz w:val="24"/>
          <w:szCs w:val="24"/>
          <w:highlight w:val="none"/>
        </w:rPr>
        <w:t>技术参数注明的规格型号如出现指向某品牌参数或型号，仅作为货物说明，等同或优于技术规范要求的产品，采购人均可接受。</w:t>
      </w:r>
      <w:bookmarkStart w:id="449" w:name="_Hlk206517630"/>
    </w:p>
    <w:bookmarkEnd w:id="449"/>
    <w:p w14:paraId="62D4044C">
      <w:pPr>
        <w:keepNext/>
        <w:keepLines/>
        <w:spacing w:line="360" w:lineRule="auto"/>
        <w:jc w:val="left"/>
        <w:outlineLvl w:val="2"/>
        <w:rPr>
          <w:rFonts w:ascii="Times New Roman" w:hAnsi="Times New Roman"/>
          <w:b/>
          <w:bCs/>
          <w:color w:val="auto"/>
          <w:sz w:val="24"/>
          <w:szCs w:val="24"/>
          <w:highlight w:val="none"/>
        </w:rPr>
      </w:pPr>
      <w:r>
        <w:rPr>
          <w:rFonts w:ascii="Times New Roman" w:hAnsi="Times New Roman"/>
          <w:b/>
          <w:bCs/>
          <w:color w:val="auto"/>
          <w:sz w:val="24"/>
          <w:szCs w:val="24"/>
          <w:highlight w:val="none"/>
        </w:rPr>
        <w:t xml:space="preserve">3.2 </w:t>
      </w:r>
      <w:r>
        <w:rPr>
          <w:rFonts w:hint="eastAsia" w:ascii="Times New Roman" w:hAnsi="Times New Roman"/>
          <w:b/>
          <w:bCs/>
          <w:color w:val="auto"/>
          <w:sz w:val="24"/>
          <w:szCs w:val="24"/>
          <w:highlight w:val="none"/>
        </w:rPr>
        <w:t>技术指标</w:t>
      </w:r>
    </w:p>
    <w:p w14:paraId="254F729F">
      <w:pPr>
        <w:keepNext/>
        <w:keepLines/>
        <w:spacing w:line="360" w:lineRule="auto"/>
        <w:jc w:val="left"/>
        <w:outlineLvl w:val="2"/>
        <w:rPr>
          <w:rFonts w:ascii="Times New Roman" w:hAnsi="Times New Roman"/>
          <w:b/>
          <w:bCs/>
          <w:color w:val="auto"/>
          <w:sz w:val="24"/>
          <w:szCs w:val="24"/>
          <w:highlight w:val="none"/>
        </w:rPr>
      </w:pPr>
      <w:r>
        <w:rPr>
          <w:rFonts w:ascii="Times New Roman" w:hAnsi="Times New Roman"/>
          <w:b/>
          <w:bCs/>
          <w:color w:val="auto"/>
          <w:sz w:val="24"/>
          <w:szCs w:val="24"/>
          <w:highlight w:val="none"/>
        </w:rPr>
        <w:t>3.2.1 X</w:t>
      </w:r>
      <w:r>
        <w:rPr>
          <w:rFonts w:hint="eastAsia" w:ascii="Times New Roman" w:hAnsi="Times New Roman"/>
          <w:b/>
          <w:bCs/>
          <w:color w:val="auto"/>
          <w:sz w:val="24"/>
          <w:szCs w:val="24"/>
          <w:highlight w:val="none"/>
        </w:rPr>
        <w:t>波段双偏振相控阵天气雷达技术指标要求</w:t>
      </w:r>
    </w:p>
    <w:p w14:paraId="682D5087">
      <w:pPr>
        <w:tabs>
          <w:tab w:val="left" w:pos="2340"/>
        </w:tabs>
        <w:spacing w:line="360" w:lineRule="auto"/>
        <w:ind w:firstLine="482"/>
        <w:rPr>
          <w:rFonts w:ascii="Times New Roman" w:hAnsi="Times New Roman"/>
          <w:b/>
          <w:color w:val="auto"/>
          <w:sz w:val="24"/>
          <w:szCs w:val="24"/>
          <w:highlight w:val="none"/>
        </w:rPr>
      </w:pPr>
      <w:r>
        <w:rPr>
          <w:rFonts w:ascii="Times New Roman" w:hAnsi="Times New Roman"/>
          <w:b/>
          <w:color w:val="auto"/>
          <w:sz w:val="24"/>
          <w:szCs w:val="24"/>
          <w:highlight w:val="none"/>
        </w:rPr>
        <w:t>3.2.1.1</w:t>
      </w:r>
      <w:r>
        <w:rPr>
          <w:rFonts w:hint="eastAsia" w:ascii="Times New Roman" w:hAnsi="Times New Roman"/>
          <w:b/>
          <w:color w:val="auto"/>
          <w:sz w:val="24"/>
          <w:szCs w:val="24"/>
          <w:highlight w:val="none"/>
        </w:rPr>
        <w:t>总体技术指标</w:t>
      </w:r>
    </w:p>
    <w:p w14:paraId="59EF40EF">
      <w:pPr>
        <w:tabs>
          <w:tab w:val="left" w:pos="2340"/>
        </w:tabs>
        <w:spacing w:line="360" w:lineRule="auto"/>
        <w:ind w:firstLine="480"/>
        <w:rPr>
          <w:rFonts w:ascii="Times New Roman" w:hAnsi="Times New Roman"/>
          <w:bCs/>
          <w:color w:val="auto"/>
          <w:sz w:val="24"/>
          <w:szCs w:val="24"/>
          <w:highlight w:val="none"/>
        </w:rPr>
      </w:pPr>
      <w:r>
        <w:rPr>
          <w:rFonts w:hint="eastAsia" w:ascii="Times New Roman" w:hAnsi="Times New Roman"/>
          <w:bCs/>
          <w:color w:val="auto"/>
          <w:sz w:val="24"/>
          <w:szCs w:val="24"/>
          <w:highlight w:val="none"/>
        </w:rPr>
        <w:t>总体技术指标包括：探测空间范围、气象要素测量范围、测量准确度等，具体指标见表</w:t>
      </w:r>
      <w:r>
        <w:rPr>
          <w:rFonts w:ascii="Times New Roman" w:hAnsi="Times New Roman"/>
          <w:bCs/>
          <w:color w:val="auto"/>
          <w:sz w:val="24"/>
          <w:szCs w:val="24"/>
          <w:highlight w:val="none"/>
        </w:rPr>
        <w:t>1</w:t>
      </w:r>
      <w:r>
        <w:rPr>
          <w:rFonts w:hint="eastAsia" w:ascii="Times New Roman" w:hAnsi="Times New Roman"/>
          <w:bCs/>
          <w:color w:val="auto"/>
          <w:sz w:val="24"/>
          <w:szCs w:val="24"/>
          <w:highlight w:val="none"/>
        </w:rPr>
        <w:t>。</w:t>
      </w:r>
    </w:p>
    <w:p w14:paraId="3BD62036">
      <w:pPr>
        <w:widowControl/>
        <w:kinsoku w:val="0"/>
        <w:autoSpaceDE w:val="0"/>
        <w:autoSpaceDN w:val="0"/>
        <w:adjustRightInd w:val="0"/>
        <w:snapToGrid w:val="0"/>
        <w:spacing w:line="360" w:lineRule="auto"/>
        <w:ind w:firstLine="458"/>
        <w:jc w:val="center"/>
        <w:textAlignment w:val="baseline"/>
        <w:rPr>
          <w:rFonts w:ascii="Times New Roman" w:hAnsi="Times New Roman"/>
          <w:b/>
          <w:bCs/>
          <w:color w:val="auto"/>
          <w:sz w:val="24"/>
          <w:szCs w:val="24"/>
          <w:highlight w:val="none"/>
        </w:rPr>
      </w:pPr>
      <w:r>
        <w:rPr>
          <w:rFonts w:hint="eastAsia" w:ascii="Times New Roman" w:hAnsi="Times New Roman"/>
          <w:b/>
          <w:bCs/>
          <w:color w:val="auto"/>
          <w:spacing w:val="-6"/>
          <w:sz w:val="24"/>
          <w:szCs w:val="24"/>
          <w:highlight w:val="none"/>
        </w:rPr>
        <w:t>表</w:t>
      </w:r>
      <w:r>
        <w:rPr>
          <w:rFonts w:ascii="Times New Roman" w:hAnsi="Times New Roman"/>
          <w:b/>
          <w:bCs/>
          <w:color w:val="auto"/>
          <w:spacing w:val="-6"/>
          <w:sz w:val="24"/>
          <w:szCs w:val="24"/>
          <w:highlight w:val="none"/>
        </w:rPr>
        <w:t xml:space="preserve">1 </w:t>
      </w:r>
      <w:r>
        <w:rPr>
          <w:rFonts w:hint="eastAsia" w:ascii="Times New Roman" w:hAnsi="Times New Roman"/>
          <w:b/>
          <w:bCs/>
          <w:color w:val="auto"/>
          <w:spacing w:val="-6"/>
          <w:sz w:val="24"/>
          <w:szCs w:val="24"/>
          <w:highlight w:val="none"/>
        </w:rPr>
        <w:t>总体技术指标表</w:t>
      </w:r>
    </w:p>
    <w:tbl>
      <w:tblPr>
        <w:tblStyle w:val="16"/>
        <w:tblW w:w="500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96"/>
        <w:gridCol w:w="1802"/>
        <w:gridCol w:w="5721"/>
      </w:tblGrid>
      <w:tr w14:paraId="1B2353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1602" w:type="pct"/>
            <w:gridSpan w:val="2"/>
            <w:tcBorders>
              <w:bottom w:val="nil"/>
            </w:tcBorders>
            <w:vAlign w:val="center"/>
          </w:tcPr>
          <w:p w14:paraId="66E2CE7B">
            <w:pPr>
              <w:widowControl/>
              <w:kinsoku w:val="0"/>
              <w:autoSpaceDE w:val="0"/>
              <w:autoSpaceDN w:val="0"/>
              <w:adjustRightInd w:val="0"/>
              <w:snapToGrid w:val="0"/>
              <w:spacing w:line="360" w:lineRule="auto"/>
              <w:jc w:val="center"/>
              <w:textAlignment w:val="baseline"/>
              <w:rPr>
                <w:rFonts w:ascii="Times New Roman" w:hAnsi="Times New Roman"/>
                <w:b/>
                <w:bCs/>
                <w:color w:val="auto"/>
                <w:sz w:val="24"/>
                <w:szCs w:val="24"/>
                <w:highlight w:val="none"/>
              </w:rPr>
            </w:pPr>
            <w:r>
              <w:rPr>
                <w:rFonts w:hint="eastAsia" w:ascii="Times New Roman" w:hAnsi="Times New Roman"/>
                <w:b/>
                <w:bCs/>
                <w:color w:val="auto"/>
                <w:sz w:val="24"/>
                <w:szCs w:val="24"/>
                <w:highlight w:val="none"/>
              </w:rPr>
              <w:t>项目</w:t>
            </w:r>
          </w:p>
        </w:tc>
        <w:tc>
          <w:tcPr>
            <w:tcW w:w="3397" w:type="pct"/>
            <w:vAlign w:val="center"/>
          </w:tcPr>
          <w:p w14:paraId="233D2F02">
            <w:pPr>
              <w:widowControl/>
              <w:kinsoku w:val="0"/>
              <w:autoSpaceDE w:val="0"/>
              <w:autoSpaceDN w:val="0"/>
              <w:adjustRightInd w:val="0"/>
              <w:snapToGrid w:val="0"/>
              <w:spacing w:line="360" w:lineRule="auto"/>
              <w:jc w:val="center"/>
              <w:textAlignment w:val="baseline"/>
              <w:rPr>
                <w:rFonts w:ascii="Times New Roman" w:hAnsi="Times New Roman"/>
                <w:b/>
                <w:bCs/>
                <w:color w:val="auto"/>
                <w:sz w:val="24"/>
                <w:szCs w:val="24"/>
                <w:highlight w:val="none"/>
              </w:rPr>
            </w:pPr>
            <w:r>
              <w:rPr>
                <w:rFonts w:hint="eastAsia" w:ascii="Times New Roman" w:hAnsi="Times New Roman"/>
                <w:b/>
                <w:bCs/>
                <w:color w:val="auto"/>
                <w:sz w:val="24"/>
                <w:szCs w:val="24"/>
                <w:highlight w:val="none"/>
              </w:rPr>
              <w:t>性能指标</w:t>
            </w:r>
          </w:p>
        </w:tc>
      </w:tr>
      <w:tr w14:paraId="409858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602" w:type="pct"/>
            <w:gridSpan w:val="2"/>
            <w:vAlign w:val="center"/>
          </w:tcPr>
          <w:p w14:paraId="20369DD3">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#雷达体制</w:t>
            </w:r>
          </w:p>
        </w:tc>
        <w:tc>
          <w:tcPr>
            <w:tcW w:w="3397" w:type="pct"/>
            <w:vAlign w:val="center"/>
          </w:tcPr>
          <w:p w14:paraId="2814F357">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双线偏振一维全固态数字平面相控阵体制</w:t>
            </w:r>
          </w:p>
        </w:tc>
      </w:tr>
      <w:tr w14:paraId="74C09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602" w:type="pct"/>
            <w:gridSpan w:val="2"/>
            <w:vAlign w:val="center"/>
          </w:tcPr>
          <w:p w14:paraId="7CA8948E">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#收发模式</w:t>
            </w:r>
          </w:p>
        </w:tc>
        <w:tc>
          <w:tcPr>
            <w:tcW w:w="3397" w:type="pct"/>
            <w:vAlign w:val="center"/>
          </w:tcPr>
          <w:p w14:paraId="2D106765">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双发双收、单发双收、宽发窄收、窄发窄收</w:t>
            </w:r>
          </w:p>
        </w:tc>
      </w:tr>
      <w:tr w14:paraId="4AC43D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602" w:type="pct"/>
            <w:gridSpan w:val="2"/>
            <w:vAlign w:val="center"/>
          </w:tcPr>
          <w:p w14:paraId="38C266B6">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工作频率</w:t>
            </w:r>
          </w:p>
        </w:tc>
        <w:tc>
          <w:tcPr>
            <w:tcW w:w="3397" w:type="pct"/>
            <w:vAlign w:val="center"/>
          </w:tcPr>
          <w:p w14:paraId="2432EBAE">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ascii="Times New Roman" w:hAnsi="Times New Roman" w:eastAsiaTheme="minorEastAsia"/>
                <w:color w:val="auto"/>
                <w:sz w:val="24"/>
                <w:szCs w:val="24"/>
                <w:highlight w:val="none"/>
              </w:rPr>
              <w:t>9.3</w:t>
            </w:r>
            <w:r>
              <w:rPr>
                <w:rFonts w:hint="eastAsia" w:ascii="Times New Roman" w:hAnsi="Times New Roman" w:eastAsiaTheme="minorEastAsia"/>
                <w:color w:val="auto"/>
                <w:sz w:val="24"/>
                <w:szCs w:val="24"/>
                <w:highlight w:val="none"/>
              </w:rPr>
              <w:t>～</w:t>
            </w:r>
            <w:r>
              <w:rPr>
                <w:rFonts w:ascii="Times New Roman" w:hAnsi="Times New Roman" w:eastAsiaTheme="minorEastAsia"/>
                <w:color w:val="auto"/>
                <w:sz w:val="24"/>
                <w:szCs w:val="24"/>
                <w:highlight w:val="none"/>
              </w:rPr>
              <w:t>9.5</w:t>
            </w:r>
            <w:r>
              <w:rPr>
                <w:rFonts w:ascii="Times New Roman" w:hAnsi="Times New Roman"/>
                <w:color w:val="auto"/>
                <w:sz w:val="24"/>
                <w:szCs w:val="24"/>
                <w:highlight w:val="none"/>
              </w:rPr>
              <w:t>GHz</w:t>
            </w:r>
            <w:r>
              <w:rPr>
                <w:rFonts w:hint="eastAsia" w:ascii="Times New Roman" w:hAnsi="Times New Roman"/>
                <w:color w:val="auto"/>
                <w:sz w:val="24"/>
                <w:szCs w:val="24"/>
                <w:highlight w:val="none"/>
              </w:rPr>
              <w:t>，点频工作</w:t>
            </w:r>
          </w:p>
        </w:tc>
      </w:tr>
      <w:tr w14:paraId="3E6C27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602" w:type="pct"/>
            <w:gridSpan w:val="2"/>
            <w:vAlign w:val="center"/>
          </w:tcPr>
          <w:p w14:paraId="64D501F4">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整机寿命</w:t>
            </w:r>
          </w:p>
        </w:tc>
        <w:tc>
          <w:tcPr>
            <w:tcW w:w="3397" w:type="pct"/>
            <w:vAlign w:val="center"/>
          </w:tcPr>
          <w:p w14:paraId="5140CE75">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15</w:t>
            </w:r>
            <w:r>
              <w:rPr>
                <w:rFonts w:hint="eastAsia" w:ascii="Times New Roman" w:hAnsi="Times New Roman"/>
                <w:color w:val="auto"/>
                <w:sz w:val="24"/>
                <w:szCs w:val="24"/>
                <w:highlight w:val="none"/>
              </w:rPr>
              <w:t>年</w:t>
            </w:r>
          </w:p>
        </w:tc>
      </w:tr>
      <w:tr w14:paraId="1AF75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4" w:hRule="atLeast"/>
        </w:trPr>
        <w:tc>
          <w:tcPr>
            <w:tcW w:w="1602" w:type="pct"/>
            <w:gridSpan w:val="2"/>
            <w:vAlign w:val="center"/>
          </w:tcPr>
          <w:p w14:paraId="61A9E290">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探测距离范围</w:t>
            </w:r>
          </w:p>
        </w:tc>
        <w:tc>
          <w:tcPr>
            <w:tcW w:w="3397" w:type="pct"/>
            <w:vAlign w:val="center"/>
          </w:tcPr>
          <w:p w14:paraId="4A5B4332">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强度：警戒≥</w:t>
            </w:r>
            <w:r>
              <w:rPr>
                <w:rFonts w:ascii="Times New Roman" w:hAnsi="Times New Roman"/>
                <w:color w:val="auto"/>
                <w:sz w:val="24"/>
                <w:szCs w:val="24"/>
                <w:highlight w:val="none"/>
              </w:rPr>
              <w:t>120km</w:t>
            </w:r>
          </w:p>
          <w:p w14:paraId="38BBECDC">
            <w:pPr>
              <w:widowControl/>
              <w:kinsoku w:val="0"/>
              <w:autoSpaceDE w:val="0"/>
              <w:autoSpaceDN w:val="0"/>
              <w:adjustRightInd w:val="0"/>
              <w:snapToGrid w:val="0"/>
              <w:spacing w:line="360" w:lineRule="auto"/>
              <w:ind w:left="105" w:leftChars="50" w:firstLine="720" w:firstLineChars="30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定量≥</w:t>
            </w:r>
            <w:r>
              <w:rPr>
                <w:rFonts w:ascii="Times New Roman" w:hAnsi="Times New Roman"/>
                <w:color w:val="auto"/>
                <w:sz w:val="24"/>
                <w:szCs w:val="24"/>
                <w:highlight w:val="none"/>
              </w:rPr>
              <w:t>60km</w:t>
            </w:r>
          </w:p>
          <w:p w14:paraId="75F287B4">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速度：≥</w:t>
            </w:r>
            <w:r>
              <w:rPr>
                <w:rFonts w:ascii="Times New Roman" w:hAnsi="Times New Roman"/>
                <w:color w:val="auto"/>
                <w:sz w:val="24"/>
                <w:szCs w:val="24"/>
                <w:highlight w:val="none"/>
              </w:rPr>
              <w:t>60km</w:t>
            </w:r>
          </w:p>
          <w:p w14:paraId="5E76A287">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谱宽：≥</w:t>
            </w:r>
            <w:r>
              <w:rPr>
                <w:rFonts w:ascii="Times New Roman" w:hAnsi="Times New Roman"/>
                <w:color w:val="auto"/>
                <w:sz w:val="24"/>
                <w:szCs w:val="24"/>
                <w:highlight w:val="none"/>
              </w:rPr>
              <w:t>60km</w:t>
            </w:r>
          </w:p>
          <w:p w14:paraId="07E20CA5">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偏振参数：≥</w:t>
            </w:r>
            <w:r>
              <w:rPr>
                <w:rFonts w:ascii="Times New Roman" w:hAnsi="Times New Roman"/>
                <w:color w:val="auto"/>
                <w:sz w:val="24"/>
                <w:szCs w:val="24"/>
                <w:highlight w:val="none"/>
              </w:rPr>
              <w:t>60km</w:t>
            </w:r>
          </w:p>
        </w:tc>
      </w:tr>
      <w:tr w14:paraId="3A8DBE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602" w:type="pct"/>
            <w:gridSpan w:val="2"/>
            <w:vAlign w:val="center"/>
          </w:tcPr>
          <w:p w14:paraId="671D7F30">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近距离盲区范围</w:t>
            </w:r>
          </w:p>
        </w:tc>
        <w:tc>
          <w:tcPr>
            <w:tcW w:w="3397" w:type="pct"/>
            <w:vAlign w:val="center"/>
          </w:tcPr>
          <w:p w14:paraId="4063AC49">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300</w:t>
            </w:r>
            <w:r>
              <w:rPr>
                <w:rFonts w:hint="eastAsia" w:ascii="Times New Roman" w:hAnsi="Times New Roman"/>
                <w:color w:val="auto"/>
                <w:sz w:val="24"/>
                <w:szCs w:val="24"/>
                <w:highlight w:val="none"/>
              </w:rPr>
              <w:t>米</w:t>
            </w:r>
          </w:p>
        </w:tc>
      </w:tr>
      <w:tr w14:paraId="7171D2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1602" w:type="pct"/>
            <w:gridSpan w:val="2"/>
            <w:vMerge w:val="restart"/>
            <w:vAlign w:val="center"/>
          </w:tcPr>
          <w:p w14:paraId="14212649">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#可探测的最小反射率因子</w:t>
            </w:r>
          </w:p>
        </w:tc>
        <w:tc>
          <w:tcPr>
            <w:tcW w:w="3397" w:type="pct"/>
            <w:vAlign w:val="center"/>
          </w:tcPr>
          <w:p w14:paraId="7875C4EC">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8dBZ</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3</w:t>
            </w:r>
            <w:r>
              <w:rPr>
                <w:rFonts w:hint="eastAsia" w:ascii="Times New Roman" w:hAnsi="Times New Roman"/>
                <w:color w:val="auto"/>
                <w:sz w:val="24"/>
                <w:szCs w:val="24"/>
                <w:highlight w:val="none"/>
              </w:rPr>
              <w:t>千米处、脉宽</w:t>
            </w:r>
            <w:r>
              <w:rPr>
                <w:rFonts w:ascii="Times New Roman" w:hAnsi="Times New Roman"/>
                <w:color w:val="auto"/>
                <w:sz w:val="24"/>
                <w:szCs w:val="24"/>
                <w:highlight w:val="none"/>
              </w:rPr>
              <w:t>0.5μs</w:t>
            </w:r>
            <w:r>
              <w:rPr>
                <w:rFonts w:hint="eastAsia" w:ascii="Times New Roman" w:hAnsi="Times New Roman"/>
                <w:color w:val="auto"/>
                <w:sz w:val="24"/>
                <w:szCs w:val="24"/>
                <w:highlight w:val="none"/>
              </w:rPr>
              <w:t>、分辨率</w:t>
            </w:r>
            <w:r>
              <w:rPr>
                <w:rFonts w:ascii="Times New Roman" w:hAnsi="Times New Roman"/>
                <w:color w:val="auto"/>
                <w:sz w:val="24"/>
                <w:szCs w:val="24"/>
                <w:highlight w:val="none"/>
              </w:rPr>
              <w:t>75m</w:t>
            </w:r>
            <w:r>
              <w:rPr>
                <w:rFonts w:hint="eastAsia" w:ascii="Times New Roman" w:hAnsi="Times New Roman"/>
                <w:color w:val="auto"/>
                <w:sz w:val="24"/>
                <w:szCs w:val="24"/>
                <w:highlight w:val="none"/>
              </w:rPr>
              <w:t>、法向、单极化）</w:t>
            </w:r>
          </w:p>
        </w:tc>
      </w:tr>
      <w:tr w14:paraId="685D2E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602" w:type="pct"/>
            <w:gridSpan w:val="2"/>
            <w:vMerge w:val="continue"/>
            <w:vAlign w:val="center"/>
          </w:tcPr>
          <w:p w14:paraId="19E72A0C">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p>
        </w:tc>
        <w:tc>
          <w:tcPr>
            <w:tcW w:w="3397" w:type="pct"/>
            <w:vAlign w:val="center"/>
          </w:tcPr>
          <w:p w14:paraId="1F8BA8D6">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5dBZ</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12</w:t>
            </w:r>
            <w:r>
              <w:rPr>
                <w:rFonts w:hint="eastAsia" w:ascii="Times New Roman" w:hAnsi="Times New Roman"/>
                <w:color w:val="auto"/>
                <w:sz w:val="24"/>
                <w:szCs w:val="24"/>
                <w:highlight w:val="none"/>
              </w:rPr>
              <w:t>千米处、脉宽</w:t>
            </w:r>
            <w:r>
              <w:rPr>
                <w:rFonts w:ascii="Times New Roman" w:hAnsi="Times New Roman"/>
                <w:color w:val="auto"/>
                <w:sz w:val="24"/>
                <w:szCs w:val="24"/>
                <w:highlight w:val="none"/>
              </w:rPr>
              <w:t>20μs</w:t>
            </w:r>
            <w:r>
              <w:rPr>
                <w:rFonts w:hint="eastAsia" w:ascii="Times New Roman" w:hAnsi="Times New Roman"/>
                <w:color w:val="auto"/>
                <w:sz w:val="24"/>
                <w:szCs w:val="24"/>
                <w:highlight w:val="none"/>
              </w:rPr>
              <w:t>、分辨率</w:t>
            </w:r>
            <w:r>
              <w:rPr>
                <w:rFonts w:ascii="Times New Roman" w:hAnsi="Times New Roman"/>
                <w:color w:val="auto"/>
                <w:sz w:val="24"/>
                <w:szCs w:val="24"/>
                <w:highlight w:val="none"/>
              </w:rPr>
              <w:t>75m</w:t>
            </w:r>
            <w:r>
              <w:rPr>
                <w:rFonts w:hint="eastAsia" w:ascii="Times New Roman" w:hAnsi="Times New Roman"/>
                <w:color w:val="auto"/>
                <w:sz w:val="24"/>
                <w:szCs w:val="24"/>
                <w:highlight w:val="none"/>
              </w:rPr>
              <w:t>、法向、单极化）</w:t>
            </w:r>
          </w:p>
        </w:tc>
      </w:tr>
      <w:tr w14:paraId="5F6A51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1602" w:type="pct"/>
            <w:gridSpan w:val="2"/>
            <w:vMerge w:val="continue"/>
            <w:vAlign w:val="center"/>
          </w:tcPr>
          <w:p w14:paraId="4D03477D">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p>
        </w:tc>
        <w:tc>
          <w:tcPr>
            <w:tcW w:w="3397" w:type="pct"/>
            <w:vAlign w:val="center"/>
          </w:tcPr>
          <w:p w14:paraId="36332ACF">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11dBZ</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50</w:t>
            </w:r>
            <w:r>
              <w:rPr>
                <w:rFonts w:hint="eastAsia" w:ascii="Times New Roman" w:hAnsi="Times New Roman"/>
                <w:color w:val="auto"/>
                <w:sz w:val="24"/>
                <w:szCs w:val="24"/>
                <w:highlight w:val="none"/>
              </w:rPr>
              <w:t>千米处、脉宽</w:t>
            </w:r>
            <w:r>
              <w:rPr>
                <w:rFonts w:ascii="Times New Roman" w:hAnsi="Times New Roman"/>
                <w:color w:val="auto"/>
                <w:sz w:val="24"/>
                <w:szCs w:val="24"/>
                <w:highlight w:val="none"/>
              </w:rPr>
              <w:t>100μs</w:t>
            </w:r>
            <w:r>
              <w:rPr>
                <w:rFonts w:hint="eastAsia" w:ascii="Times New Roman" w:hAnsi="Times New Roman"/>
                <w:color w:val="auto"/>
                <w:sz w:val="24"/>
                <w:szCs w:val="24"/>
                <w:highlight w:val="none"/>
              </w:rPr>
              <w:t>、分辨率</w:t>
            </w:r>
            <w:r>
              <w:rPr>
                <w:rFonts w:ascii="Times New Roman" w:hAnsi="Times New Roman"/>
                <w:color w:val="auto"/>
                <w:sz w:val="24"/>
                <w:szCs w:val="24"/>
                <w:highlight w:val="none"/>
              </w:rPr>
              <w:t>75m</w:t>
            </w:r>
            <w:r>
              <w:rPr>
                <w:rFonts w:hint="eastAsia" w:ascii="Times New Roman" w:hAnsi="Times New Roman"/>
                <w:color w:val="auto"/>
                <w:sz w:val="24"/>
                <w:szCs w:val="24"/>
                <w:highlight w:val="none"/>
              </w:rPr>
              <w:t>、法向、单极化）</w:t>
            </w:r>
          </w:p>
        </w:tc>
      </w:tr>
      <w:tr w14:paraId="16CF9D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1602" w:type="pct"/>
            <w:gridSpan w:val="2"/>
            <w:vMerge w:val="continue"/>
            <w:vAlign w:val="center"/>
          </w:tcPr>
          <w:p w14:paraId="277DA112">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p>
        </w:tc>
        <w:tc>
          <w:tcPr>
            <w:tcW w:w="3397" w:type="pct"/>
            <w:vAlign w:val="center"/>
          </w:tcPr>
          <w:p w14:paraId="2BFE6DC7">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16dBZ</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3</w:t>
            </w:r>
            <w:r>
              <w:rPr>
                <w:rFonts w:hint="eastAsia" w:ascii="Times New Roman" w:hAnsi="Times New Roman"/>
                <w:color w:val="auto"/>
                <w:sz w:val="24"/>
                <w:szCs w:val="24"/>
                <w:highlight w:val="none"/>
              </w:rPr>
              <w:t>千米处、脉宽</w:t>
            </w:r>
            <w:r>
              <w:rPr>
                <w:rFonts w:ascii="Times New Roman" w:hAnsi="Times New Roman"/>
                <w:color w:val="auto"/>
                <w:sz w:val="24"/>
                <w:szCs w:val="24"/>
                <w:highlight w:val="none"/>
              </w:rPr>
              <w:t>0.5μs</w:t>
            </w:r>
            <w:r>
              <w:rPr>
                <w:rFonts w:hint="eastAsia" w:ascii="Times New Roman" w:hAnsi="Times New Roman"/>
                <w:color w:val="auto"/>
                <w:sz w:val="24"/>
                <w:szCs w:val="24"/>
                <w:highlight w:val="none"/>
              </w:rPr>
              <w:t>、分辨率</w:t>
            </w:r>
            <w:r>
              <w:rPr>
                <w:rFonts w:ascii="Times New Roman" w:hAnsi="Times New Roman"/>
                <w:color w:val="auto"/>
                <w:sz w:val="24"/>
                <w:szCs w:val="24"/>
                <w:highlight w:val="none"/>
              </w:rPr>
              <w:t>75m</w:t>
            </w:r>
            <w:r>
              <w:rPr>
                <w:rFonts w:hint="eastAsia" w:ascii="Times New Roman" w:hAnsi="Times New Roman"/>
                <w:color w:val="auto"/>
                <w:sz w:val="24"/>
                <w:szCs w:val="24"/>
                <w:highlight w:val="none"/>
              </w:rPr>
              <w:t>、发射</w:t>
            </w:r>
            <w:r>
              <w:rPr>
                <w:rFonts w:ascii="Times New Roman" w:hAnsi="Times New Roman"/>
                <w:color w:val="auto"/>
                <w:sz w:val="24"/>
                <w:szCs w:val="24"/>
                <w:highlight w:val="none"/>
              </w:rPr>
              <w:t>4</w:t>
            </w:r>
            <w:r>
              <w:rPr>
                <w:rFonts w:hint="eastAsia" w:ascii="Times New Roman" w:hAnsi="Times New Roman"/>
                <w:color w:val="auto"/>
                <w:sz w:val="24"/>
                <w:szCs w:val="24"/>
                <w:highlight w:val="none"/>
              </w:rPr>
              <w:t>倍波束展宽、单极化）</w:t>
            </w:r>
          </w:p>
        </w:tc>
      </w:tr>
      <w:tr w14:paraId="092AB4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9" w:hRule="atLeast"/>
        </w:trPr>
        <w:tc>
          <w:tcPr>
            <w:tcW w:w="1602" w:type="pct"/>
            <w:gridSpan w:val="2"/>
            <w:vMerge w:val="continue"/>
            <w:vAlign w:val="center"/>
          </w:tcPr>
          <w:p w14:paraId="01815BD4">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p>
        </w:tc>
        <w:tc>
          <w:tcPr>
            <w:tcW w:w="3397" w:type="pct"/>
            <w:vAlign w:val="center"/>
          </w:tcPr>
          <w:p w14:paraId="12FF7B3A">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13dBZ</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12</w:t>
            </w:r>
            <w:r>
              <w:rPr>
                <w:rFonts w:hint="eastAsia" w:ascii="Times New Roman" w:hAnsi="Times New Roman"/>
                <w:color w:val="auto"/>
                <w:sz w:val="24"/>
                <w:szCs w:val="24"/>
                <w:highlight w:val="none"/>
              </w:rPr>
              <w:t>千米处、脉宽</w:t>
            </w:r>
            <w:r>
              <w:rPr>
                <w:rFonts w:ascii="Times New Roman" w:hAnsi="Times New Roman"/>
                <w:color w:val="auto"/>
                <w:sz w:val="24"/>
                <w:szCs w:val="24"/>
                <w:highlight w:val="none"/>
              </w:rPr>
              <w:t>20μs</w:t>
            </w:r>
            <w:r>
              <w:rPr>
                <w:rFonts w:hint="eastAsia" w:ascii="Times New Roman" w:hAnsi="Times New Roman"/>
                <w:color w:val="auto"/>
                <w:sz w:val="24"/>
                <w:szCs w:val="24"/>
                <w:highlight w:val="none"/>
              </w:rPr>
              <w:t>、分辨率</w:t>
            </w:r>
            <w:r>
              <w:rPr>
                <w:rFonts w:ascii="Times New Roman" w:hAnsi="Times New Roman"/>
                <w:color w:val="auto"/>
                <w:sz w:val="24"/>
                <w:szCs w:val="24"/>
                <w:highlight w:val="none"/>
              </w:rPr>
              <w:t>75m</w:t>
            </w:r>
            <w:r>
              <w:rPr>
                <w:rFonts w:hint="eastAsia" w:ascii="Times New Roman" w:hAnsi="Times New Roman"/>
                <w:color w:val="auto"/>
                <w:sz w:val="24"/>
                <w:szCs w:val="24"/>
                <w:highlight w:val="none"/>
              </w:rPr>
              <w:t>、发射</w:t>
            </w:r>
            <w:r>
              <w:rPr>
                <w:rFonts w:ascii="Times New Roman" w:hAnsi="Times New Roman"/>
                <w:color w:val="auto"/>
                <w:sz w:val="24"/>
                <w:szCs w:val="24"/>
                <w:highlight w:val="none"/>
              </w:rPr>
              <w:t>4</w:t>
            </w:r>
            <w:r>
              <w:rPr>
                <w:rFonts w:hint="eastAsia" w:ascii="Times New Roman" w:hAnsi="Times New Roman"/>
                <w:color w:val="auto"/>
                <w:sz w:val="24"/>
                <w:szCs w:val="24"/>
                <w:highlight w:val="none"/>
              </w:rPr>
              <w:t>倍波束展宽、单极化）</w:t>
            </w:r>
          </w:p>
        </w:tc>
      </w:tr>
      <w:tr w14:paraId="67710C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602" w:type="pct"/>
            <w:gridSpan w:val="2"/>
            <w:vMerge w:val="continue"/>
            <w:vAlign w:val="center"/>
          </w:tcPr>
          <w:p w14:paraId="74AF5E05">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p>
        </w:tc>
        <w:tc>
          <w:tcPr>
            <w:tcW w:w="3397" w:type="pct"/>
            <w:vAlign w:val="center"/>
          </w:tcPr>
          <w:p w14:paraId="38E10F49">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19dBZ</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50</w:t>
            </w:r>
            <w:r>
              <w:rPr>
                <w:rFonts w:hint="eastAsia" w:ascii="Times New Roman" w:hAnsi="Times New Roman"/>
                <w:color w:val="auto"/>
                <w:sz w:val="24"/>
                <w:szCs w:val="24"/>
                <w:highlight w:val="none"/>
              </w:rPr>
              <w:t>千米处、脉宽</w:t>
            </w:r>
            <w:r>
              <w:rPr>
                <w:rFonts w:ascii="Times New Roman" w:hAnsi="Times New Roman"/>
                <w:color w:val="auto"/>
                <w:sz w:val="24"/>
                <w:szCs w:val="24"/>
                <w:highlight w:val="none"/>
              </w:rPr>
              <w:t>100μs</w:t>
            </w:r>
            <w:r>
              <w:rPr>
                <w:rFonts w:hint="eastAsia" w:ascii="Times New Roman" w:hAnsi="Times New Roman"/>
                <w:color w:val="auto"/>
                <w:sz w:val="24"/>
                <w:szCs w:val="24"/>
                <w:highlight w:val="none"/>
              </w:rPr>
              <w:t>、分辨率</w:t>
            </w:r>
            <w:r>
              <w:rPr>
                <w:rFonts w:ascii="Times New Roman" w:hAnsi="Times New Roman"/>
                <w:color w:val="auto"/>
                <w:sz w:val="24"/>
                <w:szCs w:val="24"/>
                <w:highlight w:val="none"/>
              </w:rPr>
              <w:t>75m</w:t>
            </w:r>
            <w:r>
              <w:rPr>
                <w:rFonts w:hint="eastAsia" w:ascii="Times New Roman" w:hAnsi="Times New Roman"/>
                <w:color w:val="auto"/>
                <w:sz w:val="24"/>
                <w:szCs w:val="24"/>
                <w:highlight w:val="none"/>
              </w:rPr>
              <w:t>、发射</w:t>
            </w:r>
            <w:r>
              <w:rPr>
                <w:rFonts w:ascii="Times New Roman" w:hAnsi="Times New Roman"/>
                <w:color w:val="auto"/>
                <w:sz w:val="24"/>
                <w:szCs w:val="24"/>
                <w:highlight w:val="none"/>
              </w:rPr>
              <w:t>4</w:t>
            </w:r>
            <w:r>
              <w:rPr>
                <w:rFonts w:hint="eastAsia" w:ascii="Times New Roman" w:hAnsi="Times New Roman"/>
                <w:color w:val="auto"/>
                <w:sz w:val="24"/>
                <w:szCs w:val="24"/>
                <w:highlight w:val="none"/>
              </w:rPr>
              <w:t>倍波束展宽、单极化）</w:t>
            </w:r>
          </w:p>
        </w:tc>
      </w:tr>
      <w:tr w14:paraId="4F6161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602" w:type="pct"/>
            <w:gridSpan w:val="2"/>
            <w:vMerge w:val="continue"/>
            <w:vAlign w:val="center"/>
          </w:tcPr>
          <w:p w14:paraId="0DE406A3">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p>
        </w:tc>
        <w:tc>
          <w:tcPr>
            <w:tcW w:w="3397" w:type="pct"/>
            <w:vAlign w:val="center"/>
          </w:tcPr>
          <w:p w14:paraId="4F0DACDB">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19dBZ</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3</w:t>
            </w:r>
            <w:r>
              <w:rPr>
                <w:rFonts w:hint="eastAsia" w:ascii="Times New Roman" w:hAnsi="Times New Roman"/>
                <w:color w:val="auto"/>
                <w:sz w:val="24"/>
                <w:szCs w:val="24"/>
                <w:highlight w:val="none"/>
              </w:rPr>
              <w:t>千米处、脉宽</w:t>
            </w:r>
            <w:r>
              <w:rPr>
                <w:rFonts w:ascii="Times New Roman" w:hAnsi="Times New Roman"/>
                <w:color w:val="auto"/>
                <w:sz w:val="24"/>
                <w:szCs w:val="24"/>
                <w:highlight w:val="none"/>
              </w:rPr>
              <w:t>0.5μs</w:t>
            </w:r>
            <w:r>
              <w:rPr>
                <w:rFonts w:hint="eastAsia" w:ascii="Times New Roman" w:hAnsi="Times New Roman"/>
                <w:color w:val="auto"/>
                <w:sz w:val="24"/>
                <w:szCs w:val="24"/>
                <w:highlight w:val="none"/>
              </w:rPr>
              <w:t>、分辨率</w:t>
            </w:r>
            <w:r>
              <w:rPr>
                <w:rFonts w:ascii="Times New Roman" w:hAnsi="Times New Roman"/>
                <w:color w:val="auto"/>
                <w:sz w:val="24"/>
                <w:szCs w:val="24"/>
                <w:highlight w:val="none"/>
              </w:rPr>
              <w:t>75m</w:t>
            </w:r>
            <w:r>
              <w:rPr>
                <w:rFonts w:hint="eastAsia" w:ascii="Times New Roman" w:hAnsi="Times New Roman"/>
                <w:color w:val="auto"/>
                <w:sz w:val="24"/>
                <w:szCs w:val="24"/>
                <w:highlight w:val="none"/>
              </w:rPr>
              <w:t>、发射</w:t>
            </w:r>
            <w:r>
              <w:rPr>
                <w:rFonts w:ascii="Times New Roman" w:hAnsi="Times New Roman"/>
                <w:color w:val="auto"/>
                <w:sz w:val="24"/>
                <w:szCs w:val="24"/>
                <w:highlight w:val="none"/>
              </w:rPr>
              <w:t>8</w:t>
            </w:r>
            <w:r>
              <w:rPr>
                <w:rFonts w:hint="eastAsia" w:ascii="Times New Roman" w:hAnsi="Times New Roman"/>
                <w:color w:val="auto"/>
                <w:sz w:val="24"/>
                <w:szCs w:val="24"/>
                <w:highlight w:val="none"/>
              </w:rPr>
              <w:t>倍波束展宽、单极化）</w:t>
            </w:r>
          </w:p>
        </w:tc>
      </w:tr>
      <w:tr w14:paraId="7364CD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1602" w:type="pct"/>
            <w:gridSpan w:val="2"/>
            <w:vMerge w:val="continue"/>
            <w:vAlign w:val="center"/>
          </w:tcPr>
          <w:p w14:paraId="127E77FA">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p>
        </w:tc>
        <w:tc>
          <w:tcPr>
            <w:tcW w:w="3397" w:type="pct"/>
            <w:vAlign w:val="center"/>
          </w:tcPr>
          <w:p w14:paraId="05292BF1">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16dBZ</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12</w:t>
            </w:r>
            <w:r>
              <w:rPr>
                <w:rFonts w:hint="eastAsia" w:ascii="Times New Roman" w:hAnsi="Times New Roman"/>
                <w:color w:val="auto"/>
                <w:sz w:val="24"/>
                <w:szCs w:val="24"/>
                <w:highlight w:val="none"/>
              </w:rPr>
              <w:t>千米处、脉宽</w:t>
            </w:r>
            <w:r>
              <w:rPr>
                <w:rFonts w:ascii="Times New Roman" w:hAnsi="Times New Roman"/>
                <w:color w:val="auto"/>
                <w:sz w:val="24"/>
                <w:szCs w:val="24"/>
                <w:highlight w:val="none"/>
              </w:rPr>
              <w:t>20μs</w:t>
            </w:r>
            <w:r>
              <w:rPr>
                <w:rFonts w:hint="eastAsia" w:ascii="Times New Roman" w:hAnsi="Times New Roman"/>
                <w:color w:val="auto"/>
                <w:sz w:val="24"/>
                <w:szCs w:val="24"/>
                <w:highlight w:val="none"/>
              </w:rPr>
              <w:t>、分辨率</w:t>
            </w:r>
            <w:r>
              <w:rPr>
                <w:rFonts w:ascii="Times New Roman" w:hAnsi="Times New Roman"/>
                <w:color w:val="auto"/>
                <w:sz w:val="24"/>
                <w:szCs w:val="24"/>
                <w:highlight w:val="none"/>
              </w:rPr>
              <w:t>75m</w:t>
            </w:r>
            <w:r>
              <w:rPr>
                <w:rFonts w:hint="eastAsia" w:ascii="Times New Roman" w:hAnsi="Times New Roman"/>
                <w:color w:val="auto"/>
                <w:sz w:val="24"/>
                <w:szCs w:val="24"/>
                <w:highlight w:val="none"/>
              </w:rPr>
              <w:t>、发射</w:t>
            </w:r>
            <w:r>
              <w:rPr>
                <w:rFonts w:ascii="Times New Roman" w:hAnsi="Times New Roman"/>
                <w:color w:val="auto"/>
                <w:sz w:val="24"/>
                <w:szCs w:val="24"/>
                <w:highlight w:val="none"/>
              </w:rPr>
              <w:t>8</w:t>
            </w:r>
            <w:r>
              <w:rPr>
                <w:rFonts w:hint="eastAsia" w:ascii="Times New Roman" w:hAnsi="Times New Roman"/>
                <w:color w:val="auto"/>
                <w:sz w:val="24"/>
                <w:szCs w:val="24"/>
                <w:highlight w:val="none"/>
              </w:rPr>
              <w:t>倍波束展宽、单极化）</w:t>
            </w:r>
          </w:p>
        </w:tc>
      </w:tr>
      <w:tr w14:paraId="612ED8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602" w:type="pct"/>
            <w:gridSpan w:val="2"/>
            <w:vMerge w:val="continue"/>
            <w:vAlign w:val="center"/>
          </w:tcPr>
          <w:p w14:paraId="12B322AB">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p>
        </w:tc>
        <w:tc>
          <w:tcPr>
            <w:tcW w:w="3397" w:type="pct"/>
            <w:vAlign w:val="center"/>
          </w:tcPr>
          <w:p w14:paraId="79F38CA1">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22dBZ</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50</w:t>
            </w:r>
            <w:r>
              <w:rPr>
                <w:rFonts w:hint="eastAsia" w:ascii="Times New Roman" w:hAnsi="Times New Roman"/>
                <w:color w:val="auto"/>
                <w:sz w:val="24"/>
                <w:szCs w:val="24"/>
                <w:highlight w:val="none"/>
              </w:rPr>
              <w:t>千米处、脉宽</w:t>
            </w:r>
            <w:r>
              <w:rPr>
                <w:rFonts w:ascii="Times New Roman" w:hAnsi="Times New Roman"/>
                <w:color w:val="auto"/>
                <w:sz w:val="24"/>
                <w:szCs w:val="24"/>
                <w:highlight w:val="none"/>
              </w:rPr>
              <w:t>100μs</w:t>
            </w:r>
            <w:r>
              <w:rPr>
                <w:rFonts w:hint="eastAsia" w:ascii="Times New Roman" w:hAnsi="Times New Roman"/>
                <w:color w:val="auto"/>
                <w:sz w:val="24"/>
                <w:szCs w:val="24"/>
                <w:highlight w:val="none"/>
              </w:rPr>
              <w:t>、分辨率</w:t>
            </w:r>
            <w:r>
              <w:rPr>
                <w:rFonts w:ascii="Times New Roman" w:hAnsi="Times New Roman"/>
                <w:color w:val="auto"/>
                <w:sz w:val="24"/>
                <w:szCs w:val="24"/>
                <w:highlight w:val="none"/>
              </w:rPr>
              <w:t>75m</w:t>
            </w:r>
            <w:r>
              <w:rPr>
                <w:rFonts w:hint="eastAsia" w:ascii="Times New Roman" w:hAnsi="Times New Roman"/>
                <w:color w:val="auto"/>
                <w:sz w:val="24"/>
                <w:szCs w:val="24"/>
                <w:highlight w:val="none"/>
              </w:rPr>
              <w:t>、发射</w:t>
            </w:r>
            <w:r>
              <w:rPr>
                <w:rFonts w:ascii="Times New Roman" w:hAnsi="Times New Roman"/>
                <w:color w:val="auto"/>
                <w:sz w:val="24"/>
                <w:szCs w:val="24"/>
                <w:highlight w:val="none"/>
              </w:rPr>
              <w:t>8</w:t>
            </w:r>
            <w:r>
              <w:rPr>
                <w:rFonts w:hint="eastAsia" w:ascii="Times New Roman" w:hAnsi="Times New Roman"/>
                <w:color w:val="auto"/>
                <w:sz w:val="24"/>
                <w:szCs w:val="24"/>
                <w:highlight w:val="none"/>
              </w:rPr>
              <w:t>倍波束展宽、单极化）</w:t>
            </w:r>
          </w:p>
        </w:tc>
      </w:tr>
      <w:tr w14:paraId="5A44E5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32" w:type="pct"/>
            <w:vMerge w:val="restart"/>
            <w:vAlign w:val="center"/>
          </w:tcPr>
          <w:p w14:paraId="672398FD">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#测量</w:t>
            </w:r>
          </w:p>
          <w:p w14:paraId="7E7D660E">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范围</w:t>
            </w:r>
          </w:p>
        </w:tc>
        <w:tc>
          <w:tcPr>
            <w:tcW w:w="1069" w:type="pct"/>
            <w:vAlign w:val="center"/>
          </w:tcPr>
          <w:p w14:paraId="56E30224">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强度</w:t>
            </w:r>
          </w:p>
        </w:tc>
        <w:tc>
          <w:tcPr>
            <w:tcW w:w="3397" w:type="pct"/>
            <w:vAlign w:val="center"/>
          </w:tcPr>
          <w:p w14:paraId="629136C0">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-15dBZ</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+80dBZ</w:t>
            </w:r>
          </w:p>
        </w:tc>
      </w:tr>
      <w:tr w14:paraId="4E3754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32" w:type="pct"/>
            <w:vMerge w:val="continue"/>
            <w:vAlign w:val="center"/>
          </w:tcPr>
          <w:p w14:paraId="2CE3D3F2">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p>
        </w:tc>
        <w:tc>
          <w:tcPr>
            <w:tcW w:w="1069" w:type="pct"/>
            <w:vAlign w:val="center"/>
          </w:tcPr>
          <w:p w14:paraId="7E7B2CB8">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速度</w:t>
            </w:r>
          </w:p>
        </w:tc>
        <w:tc>
          <w:tcPr>
            <w:tcW w:w="3397" w:type="pct"/>
            <w:vAlign w:val="center"/>
          </w:tcPr>
          <w:p w14:paraId="40170B0D">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48m/s</w:t>
            </w:r>
          </w:p>
        </w:tc>
      </w:tr>
      <w:tr w14:paraId="7DB68C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32" w:type="pct"/>
            <w:vMerge w:val="continue"/>
            <w:vAlign w:val="center"/>
          </w:tcPr>
          <w:p w14:paraId="1B35F7F9">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p>
        </w:tc>
        <w:tc>
          <w:tcPr>
            <w:tcW w:w="1069" w:type="pct"/>
            <w:vAlign w:val="center"/>
          </w:tcPr>
          <w:p w14:paraId="1CAC0C5E">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谱宽</w:t>
            </w:r>
          </w:p>
        </w:tc>
        <w:tc>
          <w:tcPr>
            <w:tcW w:w="3397" w:type="pct"/>
            <w:vAlign w:val="center"/>
          </w:tcPr>
          <w:p w14:paraId="286C2474">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0m/s</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16m/s</w:t>
            </w:r>
          </w:p>
        </w:tc>
      </w:tr>
      <w:tr w14:paraId="08D939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532" w:type="pct"/>
            <w:vMerge w:val="continue"/>
            <w:vAlign w:val="center"/>
          </w:tcPr>
          <w:p w14:paraId="7414ABC9">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p>
        </w:tc>
        <w:tc>
          <w:tcPr>
            <w:tcW w:w="1069" w:type="pct"/>
            <w:vAlign w:val="center"/>
          </w:tcPr>
          <w:p w14:paraId="60CD5725">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差分反射率因子</w:t>
            </w:r>
          </w:p>
        </w:tc>
        <w:tc>
          <w:tcPr>
            <w:tcW w:w="3397" w:type="pct"/>
            <w:vAlign w:val="center"/>
          </w:tcPr>
          <w:p w14:paraId="289422BD">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-7.9dB</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+7.9dB</w:t>
            </w:r>
          </w:p>
        </w:tc>
      </w:tr>
      <w:tr w14:paraId="61D3E8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532" w:type="pct"/>
            <w:vMerge w:val="continue"/>
            <w:vAlign w:val="center"/>
          </w:tcPr>
          <w:p w14:paraId="1171F580">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p>
        </w:tc>
        <w:tc>
          <w:tcPr>
            <w:tcW w:w="1069" w:type="pct"/>
            <w:vAlign w:val="center"/>
          </w:tcPr>
          <w:p w14:paraId="2E79C4BF">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差分传播相移</w:t>
            </w:r>
          </w:p>
        </w:tc>
        <w:tc>
          <w:tcPr>
            <w:tcW w:w="3397" w:type="pct"/>
            <w:vAlign w:val="center"/>
          </w:tcPr>
          <w:p w14:paraId="517C0689">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-180°</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+180°</w:t>
            </w:r>
          </w:p>
        </w:tc>
      </w:tr>
      <w:tr w14:paraId="59A12F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532" w:type="pct"/>
            <w:vMerge w:val="continue"/>
            <w:vAlign w:val="center"/>
          </w:tcPr>
          <w:p w14:paraId="5992AFD9">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p>
        </w:tc>
        <w:tc>
          <w:tcPr>
            <w:tcW w:w="1069" w:type="pct"/>
            <w:vAlign w:val="center"/>
          </w:tcPr>
          <w:p w14:paraId="77A97A97">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差分传播相移率</w:t>
            </w:r>
          </w:p>
        </w:tc>
        <w:tc>
          <w:tcPr>
            <w:tcW w:w="3397" w:type="pct"/>
            <w:vAlign w:val="center"/>
          </w:tcPr>
          <w:p w14:paraId="140794A1">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-2°/km</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+20°/km</w:t>
            </w:r>
          </w:p>
        </w:tc>
      </w:tr>
      <w:tr w14:paraId="3A5011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532" w:type="pct"/>
            <w:vMerge w:val="continue"/>
            <w:vAlign w:val="center"/>
          </w:tcPr>
          <w:p w14:paraId="2C2616CC">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p>
        </w:tc>
        <w:tc>
          <w:tcPr>
            <w:tcW w:w="1069" w:type="pct"/>
            <w:vAlign w:val="center"/>
          </w:tcPr>
          <w:p w14:paraId="0D430904">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相关系数</w:t>
            </w:r>
          </w:p>
        </w:tc>
        <w:tc>
          <w:tcPr>
            <w:tcW w:w="3397" w:type="pct"/>
            <w:vAlign w:val="center"/>
          </w:tcPr>
          <w:p w14:paraId="23E8B830">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0</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1</w:t>
            </w:r>
          </w:p>
        </w:tc>
      </w:tr>
      <w:tr w14:paraId="63C95A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32" w:type="pct"/>
            <w:vMerge w:val="restart"/>
            <w:tcBorders>
              <w:bottom w:val="nil"/>
            </w:tcBorders>
            <w:vAlign w:val="center"/>
          </w:tcPr>
          <w:p w14:paraId="04C47BD0">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#参数</w:t>
            </w:r>
          </w:p>
          <w:p w14:paraId="40CA1781">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测量</w:t>
            </w:r>
          </w:p>
          <w:p w14:paraId="5446CD55">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精度</w:t>
            </w:r>
          </w:p>
          <w:p w14:paraId="2AB9DD1D">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（标准差）</w:t>
            </w:r>
          </w:p>
        </w:tc>
        <w:tc>
          <w:tcPr>
            <w:tcW w:w="1069" w:type="pct"/>
            <w:vAlign w:val="center"/>
          </w:tcPr>
          <w:p w14:paraId="1EF8C46F">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强度</w:t>
            </w:r>
          </w:p>
        </w:tc>
        <w:tc>
          <w:tcPr>
            <w:tcW w:w="3397" w:type="pct"/>
            <w:vAlign w:val="center"/>
          </w:tcPr>
          <w:p w14:paraId="637711DC">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1dB</w:t>
            </w:r>
          </w:p>
        </w:tc>
      </w:tr>
      <w:tr w14:paraId="53ABFE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32" w:type="pct"/>
            <w:vMerge w:val="continue"/>
            <w:tcBorders>
              <w:top w:val="nil"/>
              <w:bottom w:val="nil"/>
            </w:tcBorders>
            <w:vAlign w:val="center"/>
          </w:tcPr>
          <w:p w14:paraId="16EA6551">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p>
        </w:tc>
        <w:tc>
          <w:tcPr>
            <w:tcW w:w="1069" w:type="pct"/>
            <w:vAlign w:val="center"/>
          </w:tcPr>
          <w:p w14:paraId="31B51FB0">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速度</w:t>
            </w:r>
          </w:p>
        </w:tc>
        <w:tc>
          <w:tcPr>
            <w:tcW w:w="3397" w:type="pct"/>
            <w:vAlign w:val="center"/>
          </w:tcPr>
          <w:p w14:paraId="13CE0840">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1m/s</w:t>
            </w:r>
          </w:p>
        </w:tc>
      </w:tr>
      <w:tr w14:paraId="4C6054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32" w:type="pct"/>
            <w:vMerge w:val="continue"/>
            <w:tcBorders>
              <w:top w:val="nil"/>
              <w:bottom w:val="nil"/>
            </w:tcBorders>
            <w:vAlign w:val="center"/>
          </w:tcPr>
          <w:p w14:paraId="6BA6B5FC">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p>
        </w:tc>
        <w:tc>
          <w:tcPr>
            <w:tcW w:w="1069" w:type="pct"/>
            <w:vAlign w:val="center"/>
          </w:tcPr>
          <w:p w14:paraId="60EA1244">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谱宽</w:t>
            </w:r>
          </w:p>
        </w:tc>
        <w:tc>
          <w:tcPr>
            <w:tcW w:w="3397" w:type="pct"/>
            <w:vAlign w:val="center"/>
          </w:tcPr>
          <w:p w14:paraId="76532F5A">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1m/s</w:t>
            </w:r>
          </w:p>
        </w:tc>
      </w:tr>
      <w:tr w14:paraId="1B28F5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32" w:type="pct"/>
            <w:vMerge w:val="continue"/>
            <w:tcBorders>
              <w:top w:val="nil"/>
              <w:bottom w:val="nil"/>
            </w:tcBorders>
            <w:vAlign w:val="center"/>
          </w:tcPr>
          <w:p w14:paraId="5D8099AA">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p>
        </w:tc>
        <w:tc>
          <w:tcPr>
            <w:tcW w:w="1069" w:type="pct"/>
            <w:vAlign w:val="center"/>
          </w:tcPr>
          <w:p w14:paraId="3200D08B">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差分反射率因子</w:t>
            </w:r>
          </w:p>
        </w:tc>
        <w:tc>
          <w:tcPr>
            <w:tcW w:w="3397" w:type="pct"/>
            <w:vAlign w:val="center"/>
          </w:tcPr>
          <w:p w14:paraId="32629ACF">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0.2dB</w:t>
            </w:r>
          </w:p>
        </w:tc>
      </w:tr>
      <w:tr w14:paraId="4CAAE8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32" w:type="pct"/>
            <w:vMerge w:val="continue"/>
            <w:tcBorders>
              <w:top w:val="nil"/>
              <w:bottom w:val="nil"/>
            </w:tcBorders>
            <w:vAlign w:val="center"/>
          </w:tcPr>
          <w:p w14:paraId="1FFE252E">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p>
        </w:tc>
        <w:tc>
          <w:tcPr>
            <w:tcW w:w="1069" w:type="pct"/>
            <w:vAlign w:val="center"/>
          </w:tcPr>
          <w:p w14:paraId="00F2E99D">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差分传播相移</w:t>
            </w:r>
          </w:p>
        </w:tc>
        <w:tc>
          <w:tcPr>
            <w:tcW w:w="3397" w:type="pct"/>
            <w:vAlign w:val="center"/>
          </w:tcPr>
          <w:p w14:paraId="26A415FB">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3°</w:t>
            </w:r>
          </w:p>
        </w:tc>
      </w:tr>
      <w:tr w14:paraId="2DE1AF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32" w:type="pct"/>
            <w:vMerge w:val="continue"/>
            <w:tcBorders>
              <w:top w:val="nil"/>
              <w:bottom w:val="nil"/>
            </w:tcBorders>
            <w:vAlign w:val="center"/>
          </w:tcPr>
          <w:p w14:paraId="05BD03A0">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p>
        </w:tc>
        <w:tc>
          <w:tcPr>
            <w:tcW w:w="1069" w:type="pct"/>
            <w:vAlign w:val="center"/>
          </w:tcPr>
          <w:p w14:paraId="6A3B617C">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差分传播相移率</w:t>
            </w:r>
          </w:p>
        </w:tc>
        <w:tc>
          <w:tcPr>
            <w:tcW w:w="3397" w:type="pct"/>
            <w:vAlign w:val="center"/>
          </w:tcPr>
          <w:p w14:paraId="7D3DDCD7">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0.2°/km</w:t>
            </w:r>
          </w:p>
        </w:tc>
      </w:tr>
      <w:tr w14:paraId="1FFE9A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32" w:type="pct"/>
            <w:vMerge w:val="continue"/>
            <w:tcBorders>
              <w:top w:val="nil"/>
            </w:tcBorders>
            <w:vAlign w:val="center"/>
          </w:tcPr>
          <w:p w14:paraId="2E9BD9CD">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p>
        </w:tc>
        <w:tc>
          <w:tcPr>
            <w:tcW w:w="1069" w:type="pct"/>
            <w:vAlign w:val="center"/>
          </w:tcPr>
          <w:p w14:paraId="3CF64C12">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相关系数</w:t>
            </w:r>
          </w:p>
        </w:tc>
        <w:tc>
          <w:tcPr>
            <w:tcW w:w="3397" w:type="pct"/>
            <w:vAlign w:val="center"/>
          </w:tcPr>
          <w:p w14:paraId="6C625750">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0.01</w:t>
            </w:r>
          </w:p>
        </w:tc>
      </w:tr>
      <w:tr w14:paraId="1E9321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602" w:type="pct"/>
            <w:gridSpan w:val="2"/>
            <w:vAlign w:val="center"/>
          </w:tcPr>
          <w:p w14:paraId="2583F957">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#距离分辨率</w:t>
            </w:r>
          </w:p>
        </w:tc>
        <w:tc>
          <w:tcPr>
            <w:tcW w:w="3397" w:type="pct"/>
            <w:vAlign w:val="center"/>
          </w:tcPr>
          <w:p w14:paraId="290CFA45">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75m</w:t>
            </w:r>
          </w:p>
        </w:tc>
      </w:tr>
      <w:tr w14:paraId="093E52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32" w:type="pct"/>
            <w:vMerge w:val="restart"/>
            <w:vAlign w:val="center"/>
          </w:tcPr>
          <w:p w14:paraId="2E54C237">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#数据分辨力</w:t>
            </w:r>
          </w:p>
        </w:tc>
        <w:tc>
          <w:tcPr>
            <w:tcW w:w="1069" w:type="pct"/>
            <w:vAlign w:val="center"/>
          </w:tcPr>
          <w:p w14:paraId="2D6A0C23">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方位角和俯仰角</w:t>
            </w:r>
          </w:p>
        </w:tc>
        <w:tc>
          <w:tcPr>
            <w:tcW w:w="3397" w:type="pct"/>
            <w:vAlign w:val="center"/>
          </w:tcPr>
          <w:p w14:paraId="0A454BDB">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0.01°</w:t>
            </w:r>
          </w:p>
        </w:tc>
      </w:tr>
      <w:tr w14:paraId="52F1A1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32" w:type="pct"/>
            <w:vMerge w:val="continue"/>
            <w:vAlign w:val="center"/>
          </w:tcPr>
          <w:p w14:paraId="3423B35C">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p>
        </w:tc>
        <w:tc>
          <w:tcPr>
            <w:tcW w:w="1069" w:type="pct"/>
            <w:vAlign w:val="center"/>
          </w:tcPr>
          <w:p w14:paraId="42E77353">
            <w:pPr>
              <w:widowControl/>
              <w:kinsoku w:val="0"/>
              <w:autoSpaceDE w:val="0"/>
              <w:autoSpaceDN w:val="0"/>
              <w:adjustRightInd w:val="0"/>
              <w:snapToGrid w:val="0"/>
              <w:spacing w:line="360" w:lineRule="auto"/>
              <w:ind w:left="105" w:leftChars="50"/>
              <w:textAlignment w:val="baseline"/>
              <w:rPr>
                <w:rFonts w:ascii="Times New Roman" w:hAnsi="Times New Roman"/>
                <w:snapToGrid w:val="0"/>
                <w:color w:val="auto"/>
                <w:kern w:val="0"/>
                <w:sz w:val="24"/>
                <w:szCs w:val="24"/>
                <w:highlight w:val="none"/>
                <w:lang w:eastAsia="en-US"/>
              </w:rPr>
            </w:pPr>
            <w:r>
              <w:rPr>
                <w:rFonts w:hint="eastAsia" w:ascii="Times New Roman" w:hAnsi="Times New Roman"/>
                <w:color w:val="auto"/>
                <w:sz w:val="24"/>
                <w:szCs w:val="24"/>
                <w:highlight w:val="none"/>
              </w:rPr>
              <w:t>强度</w:t>
            </w:r>
          </w:p>
        </w:tc>
        <w:tc>
          <w:tcPr>
            <w:tcW w:w="3397" w:type="pct"/>
            <w:vAlign w:val="center"/>
          </w:tcPr>
          <w:p w14:paraId="00AA99B0">
            <w:pPr>
              <w:widowControl/>
              <w:kinsoku w:val="0"/>
              <w:autoSpaceDE w:val="0"/>
              <w:autoSpaceDN w:val="0"/>
              <w:adjustRightInd w:val="0"/>
              <w:snapToGrid w:val="0"/>
              <w:spacing w:line="360" w:lineRule="auto"/>
              <w:ind w:left="105" w:leftChars="50"/>
              <w:textAlignment w:val="baseline"/>
              <w:rPr>
                <w:rFonts w:ascii="Times New Roman" w:hAnsi="Times New Roman"/>
                <w:snapToGrid w:val="0"/>
                <w:color w:val="auto"/>
                <w:kern w:val="0"/>
                <w:sz w:val="24"/>
                <w:szCs w:val="24"/>
                <w:highlight w:val="none"/>
                <w:lang w:eastAsia="en-US"/>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0.1dB</w:t>
            </w:r>
          </w:p>
        </w:tc>
      </w:tr>
      <w:tr w14:paraId="24113F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32" w:type="pct"/>
            <w:vMerge w:val="continue"/>
            <w:vAlign w:val="center"/>
          </w:tcPr>
          <w:p w14:paraId="0ACD11CD">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p>
        </w:tc>
        <w:tc>
          <w:tcPr>
            <w:tcW w:w="1069" w:type="pct"/>
            <w:vAlign w:val="center"/>
          </w:tcPr>
          <w:p w14:paraId="0D1B4B55">
            <w:pPr>
              <w:widowControl/>
              <w:kinsoku w:val="0"/>
              <w:autoSpaceDE w:val="0"/>
              <w:autoSpaceDN w:val="0"/>
              <w:adjustRightInd w:val="0"/>
              <w:snapToGrid w:val="0"/>
              <w:spacing w:line="360" w:lineRule="auto"/>
              <w:ind w:left="105" w:leftChars="50"/>
              <w:textAlignment w:val="baseline"/>
              <w:rPr>
                <w:rFonts w:ascii="Times New Roman" w:hAnsi="Times New Roman"/>
                <w:snapToGrid w:val="0"/>
                <w:color w:val="auto"/>
                <w:kern w:val="0"/>
                <w:sz w:val="24"/>
                <w:szCs w:val="24"/>
                <w:highlight w:val="none"/>
                <w:lang w:eastAsia="en-US"/>
              </w:rPr>
            </w:pPr>
            <w:r>
              <w:rPr>
                <w:rFonts w:hint="eastAsia" w:ascii="Times New Roman" w:hAnsi="Times New Roman"/>
                <w:color w:val="auto"/>
                <w:sz w:val="24"/>
                <w:szCs w:val="24"/>
                <w:highlight w:val="none"/>
              </w:rPr>
              <w:t>速度</w:t>
            </w:r>
          </w:p>
        </w:tc>
        <w:tc>
          <w:tcPr>
            <w:tcW w:w="3397" w:type="pct"/>
            <w:vAlign w:val="center"/>
          </w:tcPr>
          <w:p w14:paraId="2F594FFA">
            <w:pPr>
              <w:widowControl/>
              <w:kinsoku w:val="0"/>
              <w:autoSpaceDE w:val="0"/>
              <w:autoSpaceDN w:val="0"/>
              <w:adjustRightInd w:val="0"/>
              <w:snapToGrid w:val="0"/>
              <w:spacing w:line="360" w:lineRule="auto"/>
              <w:ind w:left="105" w:leftChars="50"/>
              <w:textAlignment w:val="baseline"/>
              <w:rPr>
                <w:rFonts w:ascii="Times New Roman" w:hAnsi="Times New Roman"/>
                <w:snapToGrid w:val="0"/>
                <w:color w:val="auto"/>
                <w:kern w:val="0"/>
                <w:sz w:val="24"/>
                <w:szCs w:val="24"/>
                <w:highlight w:val="none"/>
                <w:lang w:eastAsia="en-US"/>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0.1m/s</w:t>
            </w:r>
          </w:p>
        </w:tc>
      </w:tr>
      <w:tr w14:paraId="44F72E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32" w:type="pct"/>
            <w:vMerge w:val="continue"/>
            <w:vAlign w:val="center"/>
          </w:tcPr>
          <w:p w14:paraId="68DB4A4F">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p>
        </w:tc>
        <w:tc>
          <w:tcPr>
            <w:tcW w:w="1069" w:type="pct"/>
            <w:vAlign w:val="center"/>
          </w:tcPr>
          <w:p w14:paraId="176946E0">
            <w:pPr>
              <w:widowControl/>
              <w:kinsoku w:val="0"/>
              <w:autoSpaceDE w:val="0"/>
              <w:autoSpaceDN w:val="0"/>
              <w:adjustRightInd w:val="0"/>
              <w:snapToGrid w:val="0"/>
              <w:spacing w:line="360" w:lineRule="auto"/>
              <w:ind w:left="105" w:leftChars="50"/>
              <w:textAlignment w:val="baseline"/>
              <w:rPr>
                <w:rFonts w:ascii="Times New Roman" w:hAnsi="Times New Roman"/>
                <w:snapToGrid w:val="0"/>
                <w:color w:val="auto"/>
                <w:kern w:val="0"/>
                <w:sz w:val="24"/>
                <w:szCs w:val="24"/>
                <w:highlight w:val="none"/>
                <w:lang w:eastAsia="en-US"/>
              </w:rPr>
            </w:pPr>
            <w:r>
              <w:rPr>
                <w:rFonts w:hint="eastAsia" w:ascii="Times New Roman" w:hAnsi="Times New Roman"/>
                <w:color w:val="auto"/>
                <w:sz w:val="24"/>
                <w:szCs w:val="24"/>
                <w:highlight w:val="none"/>
              </w:rPr>
              <w:t>谱宽</w:t>
            </w:r>
          </w:p>
        </w:tc>
        <w:tc>
          <w:tcPr>
            <w:tcW w:w="3397" w:type="pct"/>
            <w:vAlign w:val="center"/>
          </w:tcPr>
          <w:p w14:paraId="254B1364">
            <w:pPr>
              <w:widowControl/>
              <w:kinsoku w:val="0"/>
              <w:autoSpaceDE w:val="0"/>
              <w:autoSpaceDN w:val="0"/>
              <w:adjustRightInd w:val="0"/>
              <w:snapToGrid w:val="0"/>
              <w:spacing w:line="360" w:lineRule="auto"/>
              <w:ind w:left="105" w:leftChars="50"/>
              <w:textAlignment w:val="baseline"/>
              <w:rPr>
                <w:rFonts w:ascii="Times New Roman" w:hAnsi="Times New Roman"/>
                <w:snapToGrid w:val="0"/>
                <w:color w:val="auto"/>
                <w:kern w:val="0"/>
                <w:sz w:val="24"/>
                <w:szCs w:val="24"/>
                <w:highlight w:val="none"/>
                <w:lang w:eastAsia="en-US"/>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0.1m/s</w:t>
            </w:r>
          </w:p>
        </w:tc>
      </w:tr>
      <w:tr w14:paraId="5D508C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32" w:type="pct"/>
            <w:vMerge w:val="continue"/>
            <w:vAlign w:val="center"/>
          </w:tcPr>
          <w:p w14:paraId="57D63CD0">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p>
        </w:tc>
        <w:tc>
          <w:tcPr>
            <w:tcW w:w="1069" w:type="pct"/>
            <w:vAlign w:val="center"/>
          </w:tcPr>
          <w:p w14:paraId="2858A8A4">
            <w:pPr>
              <w:widowControl/>
              <w:kinsoku w:val="0"/>
              <w:autoSpaceDE w:val="0"/>
              <w:autoSpaceDN w:val="0"/>
              <w:adjustRightInd w:val="0"/>
              <w:snapToGrid w:val="0"/>
              <w:spacing w:line="360" w:lineRule="auto"/>
              <w:ind w:left="105" w:leftChars="50"/>
              <w:textAlignment w:val="baseline"/>
              <w:rPr>
                <w:rFonts w:ascii="Times New Roman" w:hAnsi="Times New Roman"/>
                <w:snapToGrid w:val="0"/>
                <w:color w:val="auto"/>
                <w:kern w:val="0"/>
                <w:sz w:val="24"/>
                <w:szCs w:val="24"/>
                <w:highlight w:val="none"/>
                <w:lang w:eastAsia="en-US"/>
              </w:rPr>
            </w:pPr>
            <w:r>
              <w:rPr>
                <w:rFonts w:hint="eastAsia" w:ascii="Times New Roman" w:hAnsi="Times New Roman"/>
                <w:color w:val="auto"/>
                <w:sz w:val="24"/>
                <w:szCs w:val="24"/>
                <w:highlight w:val="none"/>
              </w:rPr>
              <w:t>差分反射率因子</w:t>
            </w:r>
          </w:p>
        </w:tc>
        <w:tc>
          <w:tcPr>
            <w:tcW w:w="3397" w:type="pct"/>
            <w:vAlign w:val="center"/>
          </w:tcPr>
          <w:p w14:paraId="011F6220">
            <w:pPr>
              <w:widowControl/>
              <w:kinsoku w:val="0"/>
              <w:autoSpaceDE w:val="0"/>
              <w:autoSpaceDN w:val="0"/>
              <w:adjustRightInd w:val="0"/>
              <w:snapToGrid w:val="0"/>
              <w:spacing w:line="360" w:lineRule="auto"/>
              <w:ind w:left="105" w:leftChars="50"/>
              <w:textAlignment w:val="baseline"/>
              <w:rPr>
                <w:rFonts w:ascii="Times New Roman" w:hAnsi="Times New Roman"/>
                <w:snapToGrid w:val="0"/>
                <w:color w:val="auto"/>
                <w:kern w:val="0"/>
                <w:sz w:val="24"/>
                <w:szCs w:val="24"/>
                <w:highlight w:val="none"/>
                <w:lang w:eastAsia="en-US"/>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0.01dB</w:t>
            </w:r>
          </w:p>
        </w:tc>
      </w:tr>
      <w:tr w14:paraId="4BBAAB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32" w:type="pct"/>
            <w:vMerge w:val="continue"/>
            <w:vAlign w:val="center"/>
          </w:tcPr>
          <w:p w14:paraId="416DF7D5">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p>
        </w:tc>
        <w:tc>
          <w:tcPr>
            <w:tcW w:w="1069" w:type="pct"/>
            <w:vAlign w:val="center"/>
          </w:tcPr>
          <w:p w14:paraId="41A98198">
            <w:pPr>
              <w:widowControl/>
              <w:kinsoku w:val="0"/>
              <w:autoSpaceDE w:val="0"/>
              <w:autoSpaceDN w:val="0"/>
              <w:adjustRightInd w:val="0"/>
              <w:snapToGrid w:val="0"/>
              <w:spacing w:line="360" w:lineRule="auto"/>
              <w:ind w:left="105" w:leftChars="50"/>
              <w:textAlignment w:val="baseline"/>
              <w:rPr>
                <w:rFonts w:ascii="Times New Roman" w:hAnsi="Times New Roman"/>
                <w:snapToGrid w:val="0"/>
                <w:color w:val="auto"/>
                <w:kern w:val="0"/>
                <w:sz w:val="24"/>
                <w:szCs w:val="24"/>
                <w:highlight w:val="none"/>
                <w:lang w:eastAsia="en-US"/>
              </w:rPr>
            </w:pPr>
            <w:r>
              <w:rPr>
                <w:rFonts w:hint="eastAsia" w:ascii="Times New Roman" w:hAnsi="Times New Roman"/>
                <w:color w:val="auto"/>
                <w:sz w:val="24"/>
                <w:szCs w:val="24"/>
                <w:highlight w:val="none"/>
              </w:rPr>
              <w:t>差分传播相移</w:t>
            </w:r>
          </w:p>
        </w:tc>
        <w:tc>
          <w:tcPr>
            <w:tcW w:w="3397" w:type="pct"/>
            <w:vAlign w:val="center"/>
          </w:tcPr>
          <w:p w14:paraId="7C959134">
            <w:pPr>
              <w:widowControl/>
              <w:kinsoku w:val="0"/>
              <w:autoSpaceDE w:val="0"/>
              <w:autoSpaceDN w:val="0"/>
              <w:adjustRightInd w:val="0"/>
              <w:snapToGrid w:val="0"/>
              <w:spacing w:line="360" w:lineRule="auto"/>
              <w:ind w:left="105" w:leftChars="50"/>
              <w:textAlignment w:val="baseline"/>
              <w:rPr>
                <w:rFonts w:ascii="Times New Roman" w:hAnsi="Times New Roman"/>
                <w:snapToGrid w:val="0"/>
                <w:color w:val="auto"/>
                <w:kern w:val="0"/>
                <w:sz w:val="24"/>
                <w:szCs w:val="24"/>
                <w:highlight w:val="none"/>
                <w:lang w:eastAsia="en-US"/>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0.1°</w:t>
            </w:r>
          </w:p>
        </w:tc>
      </w:tr>
      <w:tr w14:paraId="5EF9C9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32" w:type="pct"/>
            <w:vMerge w:val="continue"/>
            <w:vAlign w:val="center"/>
          </w:tcPr>
          <w:p w14:paraId="22799E7D">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p>
        </w:tc>
        <w:tc>
          <w:tcPr>
            <w:tcW w:w="1069" w:type="pct"/>
            <w:vAlign w:val="center"/>
          </w:tcPr>
          <w:p w14:paraId="1A52094A">
            <w:pPr>
              <w:widowControl/>
              <w:kinsoku w:val="0"/>
              <w:autoSpaceDE w:val="0"/>
              <w:autoSpaceDN w:val="0"/>
              <w:adjustRightInd w:val="0"/>
              <w:snapToGrid w:val="0"/>
              <w:spacing w:line="360" w:lineRule="auto"/>
              <w:ind w:left="105" w:leftChars="50"/>
              <w:textAlignment w:val="baseline"/>
              <w:rPr>
                <w:rFonts w:ascii="Times New Roman" w:hAnsi="Times New Roman"/>
                <w:snapToGrid w:val="0"/>
                <w:color w:val="auto"/>
                <w:kern w:val="0"/>
                <w:sz w:val="24"/>
                <w:szCs w:val="24"/>
                <w:highlight w:val="none"/>
                <w:lang w:eastAsia="en-US"/>
              </w:rPr>
            </w:pPr>
            <w:r>
              <w:rPr>
                <w:rFonts w:hint="eastAsia" w:ascii="Times New Roman" w:hAnsi="Times New Roman"/>
                <w:color w:val="auto"/>
                <w:sz w:val="24"/>
                <w:szCs w:val="24"/>
                <w:highlight w:val="none"/>
              </w:rPr>
              <w:t>差分传播相移率</w:t>
            </w:r>
          </w:p>
        </w:tc>
        <w:tc>
          <w:tcPr>
            <w:tcW w:w="3397" w:type="pct"/>
            <w:vAlign w:val="center"/>
          </w:tcPr>
          <w:p w14:paraId="41FBE719">
            <w:pPr>
              <w:widowControl/>
              <w:kinsoku w:val="0"/>
              <w:autoSpaceDE w:val="0"/>
              <w:autoSpaceDN w:val="0"/>
              <w:adjustRightInd w:val="0"/>
              <w:snapToGrid w:val="0"/>
              <w:spacing w:line="360" w:lineRule="auto"/>
              <w:ind w:left="105" w:leftChars="50"/>
              <w:textAlignment w:val="baseline"/>
              <w:rPr>
                <w:rFonts w:ascii="Times New Roman" w:hAnsi="Times New Roman"/>
                <w:snapToGrid w:val="0"/>
                <w:color w:val="auto"/>
                <w:kern w:val="0"/>
                <w:sz w:val="24"/>
                <w:szCs w:val="24"/>
                <w:highlight w:val="none"/>
                <w:lang w:eastAsia="en-US"/>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0.01°/km</w:t>
            </w:r>
          </w:p>
        </w:tc>
      </w:tr>
      <w:tr w14:paraId="5369B6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32" w:type="pct"/>
            <w:vMerge w:val="continue"/>
            <w:tcBorders>
              <w:bottom w:val="nil"/>
            </w:tcBorders>
            <w:vAlign w:val="center"/>
          </w:tcPr>
          <w:p w14:paraId="1803A9E2">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p>
        </w:tc>
        <w:tc>
          <w:tcPr>
            <w:tcW w:w="1069" w:type="pct"/>
            <w:vAlign w:val="center"/>
          </w:tcPr>
          <w:p w14:paraId="68564D18">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相关系数</w:t>
            </w:r>
          </w:p>
        </w:tc>
        <w:tc>
          <w:tcPr>
            <w:tcW w:w="3397" w:type="pct"/>
            <w:vAlign w:val="center"/>
          </w:tcPr>
          <w:p w14:paraId="5C07A03B">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0.001</w:t>
            </w:r>
          </w:p>
        </w:tc>
      </w:tr>
      <w:tr w14:paraId="4423E5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602" w:type="pct"/>
            <w:gridSpan w:val="2"/>
            <w:vAlign w:val="center"/>
          </w:tcPr>
          <w:p w14:paraId="14B5AB93">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#系统噪声系数</w:t>
            </w:r>
          </w:p>
        </w:tc>
        <w:tc>
          <w:tcPr>
            <w:tcW w:w="3397" w:type="pct"/>
            <w:vAlign w:val="center"/>
          </w:tcPr>
          <w:p w14:paraId="6CC7B58F">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3.5dB</w:t>
            </w:r>
            <w:r>
              <w:rPr>
                <w:rFonts w:hint="eastAsia" w:ascii="Times New Roman" w:hAnsi="Times New Roman"/>
                <w:color w:val="auto"/>
                <w:sz w:val="24"/>
                <w:szCs w:val="24"/>
                <w:highlight w:val="none"/>
              </w:rPr>
              <w:t>（脉宽</w:t>
            </w:r>
            <w:r>
              <w:rPr>
                <w:rFonts w:ascii="Times New Roman" w:hAnsi="Times New Roman"/>
                <w:color w:val="auto"/>
                <w:sz w:val="24"/>
                <w:szCs w:val="24"/>
                <w:highlight w:val="none"/>
              </w:rPr>
              <w:t>1μs</w:t>
            </w:r>
            <w:r>
              <w:rPr>
                <w:rFonts w:hint="eastAsia" w:ascii="Times New Roman" w:hAnsi="Times New Roman"/>
                <w:color w:val="auto"/>
                <w:sz w:val="24"/>
                <w:szCs w:val="24"/>
                <w:highlight w:val="none"/>
              </w:rPr>
              <w:t>，带宽</w:t>
            </w:r>
            <w:r>
              <w:rPr>
                <w:rFonts w:ascii="Times New Roman" w:hAnsi="Times New Roman"/>
                <w:color w:val="auto"/>
                <w:sz w:val="24"/>
                <w:szCs w:val="24"/>
                <w:highlight w:val="none"/>
              </w:rPr>
              <w:t>1MHz</w:t>
            </w:r>
            <w:r>
              <w:rPr>
                <w:rFonts w:hint="eastAsia" w:ascii="Times New Roman" w:hAnsi="Times New Roman"/>
                <w:color w:val="auto"/>
                <w:sz w:val="24"/>
                <w:szCs w:val="24"/>
                <w:highlight w:val="none"/>
              </w:rPr>
              <w:t>）</w:t>
            </w:r>
          </w:p>
        </w:tc>
      </w:tr>
      <w:tr w14:paraId="49BD87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602" w:type="pct"/>
            <w:gridSpan w:val="2"/>
            <w:vAlign w:val="center"/>
          </w:tcPr>
          <w:p w14:paraId="08160CB5">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#系统线性动态范围</w:t>
            </w:r>
          </w:p>
        </w:tc>
        <w:tc>
          <w:tcPr>
            <w:tcW w:w="3397" w:type="pct"/>
            <w:vAlign w:val="center"/>
          </w:tcPr>
          <w:p w14:paraId="220C1B6C">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95dB</w:t>
            </w:r>
            <w:r>
              <w:rPr>
                <w:rFonts w:hint="eastAsia" w:ascii="Times New Roman" w:hAnsi="Times New Roman"/>
                <w:color w:val="auto"/>
                <w:sz w:val="24"/>
                <w:szCs w:val="24"/>
                <w:highlight w:val="none"/>
              </w:rPr>
              <w:t>（脉宽</w:t>
            </w:r>
            <w:r>
              <w:rPr>
                <w:rFonts w:ascii="Times New Roman" w:hAnsi="Times New Roman"/>
                <w:color w:val="auto"/>
                <w:sz w:val="24"/>
                <w:szCs w:val="24"/>
                <w:highlight w:val="none"/>
              </w:rPr>
              <w:t>1μs</w:t>
            </w:r>
            <w:r>
              <w:rPr>
                <w:rFonts w:hint="eastAsia" w:ascii="Times New Roman" w:hAnsi="Times New Roman"/>
                <w:color w:val="auto"/>
                <w:sz w:val="24"/>
                <w:szCs w:val="24"/>
                <w:highlight w:val="none"/>
              </w:rPr>
              <w:t>，带宽</w:t>
            </w:r>
            <w:r>
              <w:rPr>
                <w:rFonts w:ascii="Times New Roman" w:hAnsi="Times New Roman"/>
                <w:color w:val="auto"/>
                <w:sz w:val="24"/>
                <w:szCs w:val="24"/>
                <w:highlight w:val="none"/>
              </w:rPr>
              <w:t>1MHz</w:t>
            </w:r>
            <w:r>
              <w:rPr>
                <w:rFonts w:hint="eastAsia" w:ascii="Times New Roman" w:hAnsi="Times New Roman"/>
                <w:color w:val="auto"/>
                <w:sz w:val="24"/>
                <w:szCs w:val="24"/>
                <w:highlight w:val="none"/>
              </w:rPr>
              <w:t>）</w:t>
            </w:r>
          </w:p>
        </w:tc>
      </w:tr>
      <w:tr w14:paraId="491017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602" w:type="pct"/>
            <w:gridSpan w:val="2"/>
            <w:vAlign w:val="center"/>
          </w:tcPr>
          <w:p w14:paraId="2FD0DB54">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#系统相位噪声</w:t>
            </w:r>
          </w:p>
        </w:tc>
        <w:tc>
          <w:tcPr>
            <w:tcW w:w="3397" w:type="pct"/>
            <w:vAlign w:val="center"/>
          </w:tcPr>
          <w:p w14:paraId="63FE8679">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0.1°</w:t>
            </w:r>
            <w:r>
              <w:rPr>
                <w:rFonts w:hint="eastAsia" w:ascii="Times New Roman" w:hAnsi="Times New Roman"/>
                <w:color w:val="auto"/>
                <w:sz w:val="24"/>
                <w:szCs w:val="24"/>
                <w:highlight w:val="none"/>
              </w:rPr>
              <w:t>（脉宽</w:t>
            </w:r>
            <w:r>
              <w:rPr>
                <w:rFonts w:ascii="Times New Roman" w:hAnsi="Times New Roman"/>
                <w:color w:val="auto"/>
                <w:sz w:val="24"/>
                <w:szCs w:val="24"/>
                <w:highlight w:val="none"/>
              </w:rPr>
              <w:t>1μs</w:t>
            </w:r>
            <w:r>
              <w:rPr>
                <w:rFonts w:hint="eastAsia" w:ascii="Times New Roman" w:hAnsi="Times New Roman"/>
                <w:color w:val="auto"/>
                <w:sz w:val="24"/>
                <w:szCs w:val="24"/>
                <w:highlight w:val="none"/>
              </w:rPr>
              <w:t>，带宽</w:t>
            </w:r>
            <w:r>
              <w:rPr>
                <w:rFonts w:ascii="Times New Roman" w:hAnsi="Times New Roman"/>
                <w:color w:val="auto"/>
                <w:sz w:val="24"/>
                <w:szCs w:val="24"/>
                <w:highlight w:val="none"/>
              </w:rPr>
              <w:t>1MHz</w:t>
            </w:r>
            <w:r>
              <w:rPr>
                <w:rFonts w:hint="eastAsia" w:ascii="Times New Roman" w:hAnsi="Times New Roman"/>
                <w:color w:val="auto"/>
                <w:sz w:val="24"/>
                <w:szCs w:val="24"/>
                <w:highlight w:val="none"/>
              </w:rPr>
              <w:t>）</w:t>
            </w:r>
          </w:p>
        </w:tc>
      </w:tr>
      <w:tr w14:paraId="03932D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602" w:type="pct"/>
            <w:gridSpan w:val="2"/>
            <w:vAlign w:val="center"/>
          </w:tcPr>
          <w:p w14:paraId="37C1C06D">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#实际地物对消能力</w:t>
            </w:r>
          </w:p>
        </w:tc>
        <w:tc>
          <w:tcPr>
            <w:tcW w:w="3397" w:type="pct"/>
            <w:vAlign w:val="center"/>
          </w:tcPr>
          <w:p w14:paraId="56108C21">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50dB</w:t>
            </w:r>
          </w:p>
        </w:tc>
      </w:tr>
      <w:tr w14:paraId="4D49AC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1602" w:type="pct"/>
            <w:gridSpan w:val="2"/>
            <w:vAlign w:val="center"/>
          </w:tcPr>
          <w:p w14:paraId="3C6460E9">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输出参数</w:t>
            </w:r>
          </w:p>
        </w:tc>
        <w:tc>
          <w:tcPr>
            <w:tcW w:w="3397" w:type="pct"/>
            <w:vAlign w:val="center"/>
          </w:tcPr>
          <w:p w14:paraId="3C308CE8">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强度、速度、谱宽、差分反射率因子、差分传播相移、差分传播相移率、相关系数、信噪比</w:t>
            </w:r>
          </w:p>
        </w:tc>
      </w:tr>
      <w:tr w14:paraId="409DF6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1602" w:type="pct"/>
            <w:gridSpan w:val="2"/>
            <w:vAlign w:val="center"/>
          </w:tcPr>
          <w:p w14:paraId="24D6EF17">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电源要求</w:t>
            </w:r>
          </w:p>
        </w:tc>
        <w:tc>
          <w:tcPr>
            <w:tcW w:w="3397" w:type="pct"/>
            <w:vAlign w:val="center"/>
          </w:tcPr>
          <w:p w14:paraId="52E126B8">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三相</w:t>
            </w:r>
            <w:r>
              <w:rPr>
                <w:rFonts w:ascii="Times New Roman" w:hAnsi="Times New Roman"/>
                <w:color w:val="auto"/>
                <w:sz w:val="24"/>
                <w:szCs w:val="24"/>
                <w:highlight w:val="none"/>
              </w:rPr>
              <w:t>AC380V±10%</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50Hz±5%</w:t>
            </w:r>
          </w:p>
          <w:p w14:paraId="2336FFB4">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或单相</w:t>
            </w:r>
            <w:r>
              <w:rPr>
                <w:rFonts w:ascii="Times New Roman" w:hAnsi="Times New Roman"/>
                <w:color w:val="auto"/>
                <w:sz w:val="24"/>
                <w:szCs w:val="24"/>
                <w:highlight w:val="none"/>
              </w:rPr>
              <w:t>AC220V±10%</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50Hz±5%</w:t>
            </w:r>
          </w:p>
        </w:tc>
      </w:tr>
      <w:tr w14:paraId="1F695B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602" w:type="pct"/>
            <w:gridSpan w:val="2"/>
            <w:vAlign w:val="center"/>
          </w:tcPr>
          <w:p w14:paraId="6FC9195E">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重量</w:t>
            </w:r>
          </w:p>
        </w:tc>
        <w:tc>
          <w:tcPr>
            <w:tcW w:w="3397" w:type="pct"/>
            <w:vAlign w:val="center"/>
          </w:tcPr>
          <w:p w14:paraId="46C0D443">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3</w:t>
            </w:r>
            <w:r>
              <w:rPr>
                <w:rFonts w:hint="eastAsia" w:ascii="Times New Roman" w:hAnsi="Times New Roman"/>
                <w:color w:val="auto"/>
                <w:sz w:val="24"/>
                <w:szCs w:val="24"/>
                <w:highlight w:val="none"/>
              </w:rPr>
              <w:t>吨</w:t>
            </w:r>
          </w:p>
        </w:tc>
      </w:tr>
      <w:tr w14:paraId="0A2E17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532" w:type="pct"/>
            <w:vMerge w:val="restart"/>
            <w:tcBorders>
              <w:bottom w:val="nil"/>
            </w:tcBorders>
            <w:vAlign w:val="center"/>
          </w:tcPr>
          <w:p w14:paraId="22317AC7">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环境</w:t>
            </w:r>
          </w:p>
          <w:p w14:paraId="5DB98121">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要求</w:t>
            </w:r>
          </w:p>
        </w:tc>
        <w:tc>
          <w:tcPr>
            <w:tcW w:w="1069" w:type="pct"/>
            <w:vAlign w:val="center"/>
          </w:tcPr>
          <w:p w14:paraId="2B0531D8">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环境温度</w:t>
            </w:r>
          </w:p>
        </w:tc>
        <w:tc>
          <w:tcPr>
            <w:tcW w:w="3397" w:type="pct"/>
            <w:vAlign w:val="center"/>
          </w:tcPr>
          <w:p w14:paraId="4DD93E97">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室内：</w:t>
            </w:r>
            <w:r>
              <w:rPr>
                <w:rFonts w:ascii="Times New Roman" w:hAnsi="Times New Roman"/>
                <w:color w:val="auto"/>
                <w:sz w:val="24"/>
                <w:szCs w:val="24"/>
                <w:highlight w:val="none"/>
              </w:rPr>
              <w:t>0</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+40℃</w:t>
            </w:r>
          </w:p>
          <w:p w14:paraId="59BADEF4">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室外：</w:t>
            </w:r>
            <w:r>
              <w:rPr>
                <w:rFonts w:ascii="Times New Roman" w:hAnsi="Times New Roman"/>
                <w:color w:val="auto"/>
                <w:sz w:val="24"/>
                <w:szCs w:val="24"/>
                <w:highlight w:val="none"/>
              </w:rPr>
              <w:t>-40</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+50℃</w:t>
            </w:r>
          </w:p>
        </w:tc>
      </w:tr>
      <w:tr w14:paraId="2AFBAA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32" w:type="pct"/>
            <w:vMerge w:val="continue"/>
            <w:tcBorders>
              <w:top w:val="nil"/>
              <w:bottom w:val="nil"/>
            </w:tcBorders>
            <w:vAlign w:val="center"/>
          </w:tcPr>
          <w:p w14:paraId="5191D67D">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p>
        </w:tc>
        <w:tc>
          <w:tcPr>
            <w:tcW w:w="1069" w:type="pct"/>
            <w:vAlign w:val="center"/>
          </w:tcPr>
          <w:p w14:paraId="64A89EC8">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贮存温度</w:t>
            </w:r>
          </w:p>
        </w:tc>
        <w:tc>
          <w:tcPr>
            <w:tcW w:w="3397" w:type="pct"/>
            <w:vAlign w:val="center"/>
          </w:tcPr>
          <w:p w14:paraId="7967EB85">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-40</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+60℃</w:t>
            </w:r>
          </w:p>
        </w:tc>
      </w:tr>
      <w:tr w14:paraId="09DB4B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532" w:type="pct"/>
            <w:vMerge w:val="continue"/>
            <w:tcBorders>
              <w:top w:val="nil"/>
              <w:bottom w:val="nil"/>
            </w:tcBorders>
            <w:vAlign w:val="center"/>
          </w:tcPr>
          <w:p w14:paraId="40923B55">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p>
        </w:tc>
        <w:tc>
          <w:tcPr>
            <w:tcW w:w="1069" w:type="pct"/>
            <w:vAlign w:val="center"/>
          </w:tcPr>
          <w:p w14:paraId="27202D95">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环境最大湿度</w:t>
            </w:r>
          </w:p>
        </w:tc>
        <w:tc>
          <w:tcPr>
            <w:tcW w:w="3397" w:type="pct"/>
            <w:vAlign w:val="center"/>
          </w:tcPr>
          <w:p w14:paraId="052131B9">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室内：≤</w:t>
            </w:r>
            <w:r>
              <w:rPr>
                <w:rFonts w:ascii="Times New Roman" w:hAnsi="Times New Roman"/>
                <w:color w:val="auto"/>
                <w:sz w:val="24"/>
                <w:szCs w:val="24"/>
                <w:highlight w:val="none"/>
              </w:rPr>
              <w:t>90%</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+30℃)</w:t>
            </w:r>
          </w:p>
          <w:p w14:paraId="6C5F68EF">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室外：≤</w:t>
            </w:r>
            <w:r>
              <w:rPr>
                <w:rFonts w:ascii="Times New Roman" w:hAnsi="Times New Roman"/>
                <w:color w:val="auto"/>
                <w:sz w:val="24"/>
                <w:szCs w:val="24"/>
                <w:highlight w:val="none"/>
              </w:rPr>
              <w:t>95%</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+35℃)</w:t>
            </w:r>
          </w:p>
        </w:tc>
      </w:tr>
      <w:tr w14:paraId="5AF088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32" w:type="pct"/>
            <w:vMerge w:val="continue"/>
            <w:tcBorders>
              <w:top w:val="nil"/>
              <w:bottom w:val="nil"/>
            </w:tcBorders>
            <w:vAlign w:val="center"/>
          </w:tcPr>
          <w:p w14:paraId="426A40E5">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p>
        </w:tc>
        <w:tc>
          <w:tcPr>
            <w:tcW w:w="1069" w:type="pct"/>
            <w:vAlign w:val="center"/>
          </w:tcPr>
          <w:p w14:paraId="0AD11D4B">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工作高度</w:t>
            </w:r>
          </w:p>
        </w:tc>
        <w:tc>
          <w:tcPr>
            <w:tcW w:w="3397" w:type="pct"/>
            <w:vAlign w:val="center"/>
          </w:tcPr>
          <w:p w14:paraId="4ACC9CEA">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海拔高度：≤</w:t>
            </w:r>
            <w:r>
              <w:rPr>
                <w:rFonts w:ascii="Times New Roman" w:hAnsi="Times New Roman"/>
                <w:color w:val="auto"/>
                <w:sz w:val="24"/>
                <w:szCs w:val="24"/>
                <w:highlight w:val="none"/>
              </w:rPr>
              <w:t>5000m</w:t>
            </w:r>
          </w:p>
        </w:tc>
      </w:tr>
      <w:tr w14:paraId="3E73FF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32" w:type="pct"/>
            <w:vMerge w:val="continue"/>
            <w:tcBorders>
              <w:top w:val="nil"/>
              <w:bottom w:val="nil"/>
            </w:tcBorders>
            <w:vAlign w:val="center"/>
          </w:tcPr>
          <w:p w14:paraId="1524498E">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p>
        </w:tc>
        <w:tc>
          <w:tcPr>
            <w:tcW w:w="1069" w:type="pct"/>
            <w:vAlign w:val="center"/>
          </w:tcPr>
          <w:p w14:paraId="2EB8E4C6">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冲击、振动、淋雨</w:t>
            </w:r>
          </w:p>
        </w:tc>
        <w:tc>
          <w:tcPr>
            <w:tcW w:w="3397" w:type="pct"/>
            <w:vAlign w:val="center"/>
          </w:tcPr>
          <w:p w14:paraId="3E413337">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符合国家有关部门规定，且满足野外运输要求。</w:t>
            </w:r>
          </w:p>
        </w:tc>
      </w:tr>
      <w:tr w14:paraId="653786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32" w:type="pct"/>
            <w:vMerge w:val="continue"/>
            <w:tcBorders>
              <w:top w:val="nil"/>
              <w:bottom w:val="nil"/>
            </w:tcBorders>
            <w:vAlign w:val="center"/>
          </w:tcPr>
          <w:p w14:paraId="0831D230">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p>
        </w:tc>
        <w:tc>
          <w:tcPr>
            <w:tcW w:w="1069" w:type="pct"/>
            <w:vAlign w:val="center"/>
          </w:tcPr>
          <w:p w14:paraId="1B7DFF4A">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抗干扰</w:t>
            </w:r>
          </w:p>
        </w:tc>
        <w:tc>
          <w:tcPr>
            <w:tcW w:w="3397" w:type="pct"/>
            <w:vAlign w:val="center"/>
          </w:tcPr>
          <w:p w14:paraId="3B8ADA94">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电源干扰、电磁干扰、无线电频率干扰</w:t>
            </w:r>
          </w:p>
        </w:tc>
      </w:tr>
      <w:tr w14:paraId="738B42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32" w:type="pct"/>
            <w:vMerge w:val="continue"/>
            <w:tcBorders>
              <w:top w:val="nil"/>
            </w:tcBorders>
            <w:vAlign w:val="center"/>
          </w:tcPr>
          <w:p w14:paraId="072CD872">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p>
        </w:tc>
        <w:tc>
          <w:tcPr>
            <w:tcW w:w="1069" w:type="pct"/>
            <w:vAlign w:val="center"/>
          </w:tcPr>
          <w:p w14:paraId="07783115">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其它</w:t>
            </w:r>
          </w:p>
        </w:tc>
        <w:tc>
          <w:tcPr>
            <w:tcW w:w="3397" w:type="pct"/>
            <w:vAlign w:val="center"/>
          </w:tcPr>
          <w:p w14:paraId="38AD4403">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防水、防霉、防盐雾</w:t>
            </w:r>
          </w:p>
        </w:tc>
      </w:tr>
      <w:tr w14:paraId="5EFA25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1602" w:type="pct"/>
            <w:gridSpan w:val="2"/>
            <w:vAlign w:val="center"/>
          </w:tcPr>
          <w:p w14:paraId="6B3FE6F8">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平均严重故障间隔时间</w:t>
            </w:r>
          </w:p>
          <w:p w14:paraId="08134D37">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MTBCF</w:t>
            </w:r>
            <w:r>
              <w:rPr>
                <w:rFonts w:hint="eastAsia" w:ascii="Times New Roman" w:hAnsi="Times New Roman"/>
                <w:color w:val="auto"/>
                <w:sz w:val="24"/>
                <w:szCs w:val="24"/>
                <w:highlight w:val="none"/>
              </w:rPr>
              <w:t>）</w:t>
            </w:r>
          </w:p>
        </w:tc>
        <w:tc>
          <w:tcPr>
            <w:tcW w:w="3397" w:type="pct"/>
            <w:vAlign w:val="center"/>
          </w:tcPr>
          <w:p w14:paraId="3BA32AE4">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5000h</w:t>
            </w:r>
          </w:p>
        </w:tc>
      </w:tr>
      <w:tr w14:paraId="31E10D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602" w:type="pct"/>
            <w:gridSpan w:val="2"/>
            <w:vAlign w:val="center"/>
          </w:tcPr>
          <w:p w14:paraId="3658315C">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平均故障修复时间</w:t>
            </w:r>
          </w:p>
        </w:tc>
        <w:tc>
          <w:tcPr>
            <w:tcW w:w="3397" w:type="pct"/>
            <w:vAlign w:val="center"/>
          </w:tcPr>
          <w:p w14:paraId="2CD80193">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0.5h</w:t>
            </w:r>
          </w:p>
        </w:tc>
      </w:tr>
      <w:tr w14:paraId="3D6BB0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602" w:type="pct"/>
            <w:gridSpan w:val="2"/>
            <w:vAlign w:val="center"/>
          </w:tcPr>
          <w:p w14:paraId="5D512340">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架设方式</w:t>
            </w:r>
          </w:p>
        </w:tc>
        <w:tc>
          <w:tcPr>
            <w:tcW w:w="3397" w:type="pct"/>
            <w:vAlign w:val="center"/>
          </w:tcPr>
          <w:p w14:paraId="0C43D677">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固定架设</w:t>
            </w:r>
          </w:p>
        </w:tc>
      </w:tr>
      <w:tr w14:paraId="30CE9E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602" w:type="pct"/>
            <w:gridSpan w:val="2"/>
            <w:vAlign w:val="center"/>
          </w:tcPr>
          <w:p w14:paraId="49DCFC0C">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雷达整机功耗</w:t>
            </w:r>
          </w:p>
        </w:tc>
        <w:tc>
          <w:tcPr>
            <w:tcW w:w="3397" w:type="pct"/>
            <w:vAlign w:val="center"/>
          </w:tcPr>
          <w:p w14:paraId="0A65E6E0">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15kW</w:t>
            </w:r>
          </w:p>
        </w:tc>
      </w:tr>
      <w:tr w14:paraId="03A09E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602" w:type="pct"/>
            <w:gridSpan w:val="2"/>
            <w:vAlign w:val="center"/>
          </w:tcPr>
          <w:p w14:paraId="53180189">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连续工作时间</w:t>
            </w:r>
          </w:p>
        </w:tc>
        <w:tc>
          <w:tcPr>
            <w:tcW w:w="3397" w:type="pct"/>
            <w:vAlign w:val="center"/>
          </w:tcPr>
          <w:p w14:paraId="75C53ACF">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无人值守</w:t>
            </w:r>
            <w:r>
              <w:rPr>
                <w:rFonts w:ascii="Times New Roman" w:hAnsi="Times New Roman"/>
                <w:color w:val="auto"/>
                <w:sz w:val="24"/>
                <w:szCs w:val="24"/>
                <w:highlight w:val="none"/>
              </w:rPr>
              <w:t>7×24h</w:t>
            </w:r>
            <w:r>
              <w:rPr>
                <w:rFonts w:hint="eastAsia" w:ascii="Times New Roman" w:hAnsi="Times New Roman"/>
                <w:color w:val="auto"/>
                <w:sz w:val="24"/>
                <w:szCs w:val="24"/>
                <w:highlight w:val="none"/>
              </w:rPr>
              <w:t>工作</w:t>
            </w:r>
          </w:p>
        </w:tc>
      </w:tr>
      <w:tr w14:paraId="61AE6A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1602" w:type="pct"/>
            <w:gridSpan w:val="2"/>
            <w:vAlign w:val="center"/>
          </w:tcPr>
          <w:p w14:paraId="4212B076">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微波辐射安全性</w:t>
            </w:r>
          </w:p>
        </w:tc>
        <w:tc>
          <w:tcPr>
            <w:tcW w:w="3397" w:type="pct"/>
            <w:vAlign w:val="center"/>
          </w:tcPr>
          <w:p w14:paraId="1C1A1E1F">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电磁辐射暴露限制应符合</w:t>
            </w:r>
            <w:r>
              <w:rPr>
                <w:rFonts w:ascii="Times New Roman" w:hAnsi="Times New Roman"/>
                <w:color w:val="auto"/>
                <w:sz w:val="24"/>
                <w:szCs w:val="24"/>
                <w:highlight w:val="none"/>
              </w:rPr>
              <w:t>GJB5313A-2017</w:t>
            </w:r>
            <w:r>
              <w:rPr>
                <w:rFonts w:hint="eastAsia" w:ascii="Times New Roman" w:hAnsi="Times New Roman"/>
                <w:color w:val="auto"/>
                <w:sz w:val="24"/>
                <w:szCs w:val="24"/>
                <w:highlight w:val="none"/>
              </w:rPr>
              <w:t>的要求。</w:t>
            </w:r>
          </w:p>
        </w:tc>
      </w:tr>
      <w:tr w14:paraId="01AC0D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trPr>
        <w:tc>
          <w:tcPr>
            <w:tcW w:w="1602" w:type="pct"/>
            <w:gridSpan w:val="2"/>
            <w:vAlign w:val="center"/>
          </w:tcPr>
          <w:p w14:paraId="4E5FF9D1">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安全标记</w:t>
            </w:r>
          </w:p>
        </w:tc>
        <w:tc>
          <w:tcPr>
            <w:tcW w:w="3397" w:type="pct"/>
            <w:vAlign w:val="center"/>
          </w:tcPr>
          <w:p w14:paraId="0FAD29CD">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雷达高压部位、微波泄漏部位、机械转动部位应有清晰、醒目的安全警示标记。</w:t>
            </w:r>
          </w:p>
        </w:tc>
      </w:tr>
      <w:tr w14:paraId="31CAF6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1602" w:type="pct"/>
            <w:gridSpan w:val="2"/>
            <w:vAlign w:val="center"/>
          </w:tcPr>
          <w:p w14:paraId="359C8CF5">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互换性</w:t>
            </w:r>
          </w:p>
        </w:tc>
        <w:tc>
          <w:tcPr>
            <w:tcW w:w="3397" w:type="pct"/>
            <w:vAlign w:val="center"/>
          </w:tcPr>
          <w:p w14:paraId="1B95B104">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雷达备份零件、部件、组件和功能单元均能在现场更换，无需调整而正常工作。</w:t>
            </w:r>
          </w:p>
        </w:tc>
      </w:tr>
      <w:tr w14:paraId="375834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1602" w:type="pct"/>
            <w:gridSpan w:val="2"/>
            <w:vAlign w:val="center"/>
          </w:tcPr>
          <w:p w14:paraId="58CBC9D8">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电磁兼容性</w:t>
            </w:r>
          </w:p>
        </w:tc>
        <w:tc>
          <w:tcPr>
            <w:tcW w:w="3397" w:type="pct"/>
            <w:vAlign w:val="center"/>
          </w:tcPr>
          <w:p w14:paraId="255A577B">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雷达具有市电滤波和防电磁干扰的能力，设置静电屏蔽、磁屏蔽、电磁屏蔽，模拟地线、数字地线和安全地线严格分开。</w:t>
            </w:r>
          </w:p>
        </w:tc>
      </w:tr>
      <w:tr w14:paraId="4D6FE9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trPr>
        <w:tc>
          <w:tcPr>
            <w:tcW w:w="1602" w:type="pct"/>
            <w:gridSpan w:val="2"/>
            <w:vAlign w:val="center"/>
          </w:tcPr>
          <w:p w14:paraId="52EFD87A">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安全性</w:t>
            </w:r>
          </w:p>
        </w:tc>
        <w:tc>
          <w:tcPr>
            <w:tcW w:w="3397" w:type="pct"/>
            <w:vAlign w:val="center"/>
          </w:tcPr>
          <w:p w14:paraId="56BDB264">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雷达应有安全性设计</w:t>
            </w:r>
            <w:r>
              <w:rPr>
                <w:rFonts w:ascii="Times New Roman" w:hAnsi="Times New Roman"/>
                <w:color w:val="auto"/>
                <w:sz w:val="24"/>
                <w:szCs w:val="24"/>
                <w:highlight w:val="none"/>
              </w:rPr>
              <w:t>,</w:t>
            </w:r>
            <w:r>
              <w:rPr>
                <w:rFonts w:hint="eastAsia" w:ascii="Times New Roman" w:hAnsi="Times New Roman"/>
                <w:color w:val="auto"/>
                <w:sz w:val="24"/>
                <w:szCs w:val="24"/>
                <w:highlight w:val="none"/>
              </w:rPr>
              <w:t>确保雷达按规定条件进行制造、安装、运输、贮存、使用和维护时的人身安全和设备安全。</w:t>
            </w:r>
          </w:p>
        </w:tc>
      </w:tr>
      <w:tr w14:paraId="6629D1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1602" w:type="pct"/>
            <w:gridSpan w:val="2"/>
            <w:vAlign w:val="center"/>
          </w:tcPr>
          <w:p w14:paraId="54F738B5">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防雷要求</w:t>
            </w:r>
          </w:p>
        </w:tc>
        <w:tc>
          <w:tcPr>
            <w:tcW w:w="3397" w:type="pct"/>
            <w:vAlign w:val="center"/>
          </w:tcPr>
          <w:p w14:paraId="00DFF5F5">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雷达电源线输入端应加装防雷滤波器，室外电缆一律采用屏蔽电缆。</w:t>
            </w:r>
          </w:p>
        </w:tc>
      </w:tr>
      <w:tr w14:paraId="168C73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602" w:type="pct"/>
            <w:gridSpan w:val="2"/>
            <w:vAlign w:val="center"/>
          </w:tcPr>
          <w:p w14:paraId="6003BD9A">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绝缘性</w:t>
            </w:r>
          </w:p>
        </w:tc>
        <w:tc>
          <w:tcPr>
            <w:tcW w:w="3397" w:type="pct"/>
            <w:vAlign w:val="center"/>
          </w:tcPr>
          <w:p w14:paraId="5AF3B242">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雷达各初级电源与大地间绝缘电阻应大于</w:t>
            </w:r>
            <w:r>
              <w:rPr>
                <w:rFonts w:ascii="Times New Roman" w:hAnsi="Times New Roman"/>
                <w:color w:val="auto"/>
                <w:sz w:val="24"/>
                <w:szCs w:val="24"/>
                <w:highlight w:val="none"/>
              </w:rPr>
              <w:t>1MΩ</w:t>
            </w:r>
            <w:r>
              <w:rPr>
                <w:rFonts w:hint="eastAsia" w:ascii="Times New Roman" w:hAnsi="Times New Roman"/>
                <w:color w:val="auto"/>
                <w:sz w:val="24"/>
                <w:szCs w:val="24"/>
                <w:highlight w:val="none"/>
              </w:rPr>
              <w:t>。</w:t>
            </w:r>
          </w:p>
        </w:tc>
      </w:tr>
      <w:tr w14:paraId="76DEE6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1602" w:type="pct"/>
            <w:gridSpan w:val="2"/>
            <w:vAlign w:val="center"/>
          </w:tcPr>
          <w:p w14:paraId="3E288226">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外观质量</w:t>
            </w:r>
          </w:p>
        </w:tc>
        <w:tc>
          <w:tcPr>
            <w:tcW w:w="3397" w:type="pct"/>
            <w:vAlign w:val="center"/>
          </w:tcPr>
          <w:p w14:paraId="25B520B8">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外观应协调一致。外表面应无凹痕、碰伤、裂痕和变形等缺陷；镀涂层不起泡、龟裂和脱落；金属零件无锈蚀、毛刺及其它机械损伤。</w:t>
            </w:r>
          </w:p>
        </w:tc>
      </w:tr>
      <w:tr w14:paraId="06AF20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6" w:hRule="atLeast"/>
        </w:trPr>
        <w:tc>
          <w:tcPr>
            <w:tcW w:w="1602" w:type="pct"/>
            <w:gridSpan w:val="2"/>
            <w:vAlign w:val="center"/>
          </w:tcPr>
          <w:p w14:paraId="669D3158">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标记与代号</w:t>
            </w:r>
          </w:p>
        </w:tc>
        <w:tc>
          <w:tcPr>
            <w:tcW w:w="3397" w:type="pct"/>
            <w:vAlign w:val="center"/>
          </w:tcPr>
          <w:p w14:paraId="72E12197">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机柜、机箱、插件和线缆等应有统一的编号和标记，符合国家标准。</w:t>
            </w:r>
          </w:p>
          <w:p w14:paraId="3E3769AF">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印制板、主要元器件等应在相应位置印有与电路图中项目代号相符的标记。</w:t>
            </w:r>
          </w:p>
          <w:p w14:paraId="1B51D1E8">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标记的文字、字母和符号应完整、规范、清晰和牢固，且便于识读。</w:t>
            </w:r>
          </w:p>
        </w:tc>
      </w:tr>
      <w:tr w14:paraId="5ABC61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1602" w:type="pct"/>
            <w:gridSpan w:val="2"/>
            <w:vAlign w:val="center"/>
          </w:tcPr>
          <w:p w14:paraId="7601748E">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环境噪声要求</w:t>
            </w:r>
          </w:p>
        </w:tc>
        <w:tc>
          <w:tcPr>
            <w:tcW w:w="3397" w:type="pct"/>
            <w:vAlign w:val="center"/>
          </w:tcPr>
          <w:p w14:paraId="28B28991">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终端操作室噪声不大于</w:t>
            </w:r>
            <w:r>
              <w:rPr>
                <w:rFonts w:ascii="Times New Roman" w:hAnsi="Times New Roman"/>
                <w:color w:val="auto"/>
                <w:sz w:val="24"/>
                <w:szCs w:val="24"/>
                <w:highlight w:val="none"/>
              </w:rPr>
              <w:t>65dB</w:t>
            </w:r>
            <w:r>
              <w:rPr>
                <w:rFonts w:hint="eastAsia" w:ascii="Times New Roman" w:hAnsi="Times New Roman"/>
                <w:color w:val="auto"/>
                <w:sz w:val="24"/>
                <w:szCs w:val="24"/>
                <w:highlight w:val="none"/>
              </w:rPr>
              <w:t>。</w:t>
            </w:r>
          </w:p>
        </w:tc>
      </w:tr>
      <w:tr w14:paraId="7D3E7A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602" w:type="pct"/>
            <w:gridSpan w:val="2"/>
            <w:vAlign w:val="center"/>
          </w:tcPr>
          <w:p w14:paraId="62F9A88E">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雷达应有的铭牌包括的内容</w:t>
            </w:r>
          </w:p>
        </w:tc>
        <w:tc>
          <w:tcPr>
            <w:tcW w:w="3397" w:type="pct"/>
            <w:vAlign w:val="center"/>
          </w:tcPr>
          <w:p w14:paraId="22F43BFE">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雷达的名称、型号（代号）；出厂编号；出厂年月；制造厂商标。</w:t>
            </w:r>
          </w:p>
        </w:tc>
      </w:tr>
    </w:tbl>
    <w:p w14:paraId="47665F80">
      <w:pPr>
        <w:tabs>
          <w:tab w:val="left" w:pos="2340"/>
        </w:tabs>
        <w:spacing w:line="360" w:lineRule="auto"/>
        <w:ind w:firstLine="482"/>
        <w:rPr>
          <w:rFonts w:ascii="Times New Roman" w:hAnsi="Times New Roman"/>
          <w:b/>
          <w:color w:val="auto"/>
          <w:sz w:val="24"/>
          <w:szCs w:val="24"/>
          <w:highlight w:val="none"/>
        </w:rPr>
      </w:pPr>
      <w:bookmarkStart w:id="450" w:name="bookmark19"/>
      <w:bookmarkEnd w:id="450"/>
      <w:bookmarkStart w:id="451" w:name="bookmark20"/>
      <w:bookmarkEnd w:id="451"/>
      <w:r>
        <w:rPr>
          <w:rFonts w:ascii="Times New Roman" w:hAnsi="Times New Roman"/>
          <w:b/>
          <w:color w:val="auto"/>
          <w:sz w:val="24"/>
          <w:szCs w:val="24"/>
          <w:highlight w:val="none"/>
        </w:rPr>
        <w:t>3.2.1.2</w:t>
      </w:r>
      <w:r>
        <w:rPr>
          <w:rFonts w:hint="eastAsia" w:ascii="Times New Roman" w:hAnsi="Times New Roman"/>
          <w:b/>
          <w:color w:val="auto"/>
          <w:sz w:val="24"/>
          <w:szCs w:val="24"/>
          <w:highlight w:val="none"/>
        </w:rPr>
        <w:t>天线技术指标</w:t>
      </w:r>
    </w:p>
    <w:p w14:paraId="5CA799DE">
      <w:pPr>
        <w:tabs>
          <w:tab w:val="left" w:pos="2340"/>
        </w:tabs>
        <w:spacing w:line="360" w:lineRule="auto"/>
        <w:ind w:firstLine="480"/>
        <w:rPr>
          <w:rFonts w:ascii="Times New Roman" w:hAnsi="Times New Roman"/>
          <w:bCs/>
          <w:color w:val="auto"/>
          <w:sz w:val="24"/>
          <w:szCs w:val="24"/>
          <w:highlight w:val="none"/>
        </w:rPr>
      </w:pPr>
      <w:r>
        <w:rPr>
          <w:rFonts w:hint="eastAsia" w:ascii="Times New Roman" w:hAnsi="Times New Roman"/>
          <w:bCs/>
          <w:color w:val="auto"/>
          <w:sz w:val="24"/>
          <w:szCs w:val="24"/>
          <w:highlight w:val="none"/>
        </w:rPr>
        <w:t>天线的技术指标包括：极化方式、波束宽度、交叉极化隔离度等。</w:t>
      </w:r>
    </w:p>
    <w:p w14:paraId="7AA76D47">
      <w:pPr>
        <w:tabs>
          <w:tab w:val="left" w:pos="2340"/>
        </w:tabs>
        <w:spacing w:line="360" w:lineRule="auto"/>
        <w:ind w:firstLine="480"/>
        <w:rPr>
          <w:rFonts w:ascii="Times New Roman" w:hAnsi="Times New Roman"/>
          <w:bCs/>
          <w:color w:val="auto"/>
          <w:sz w:val="24"/>
          <w:szCs w:val="24"/>
          <w:highlight w:val="none"/>
        </w:rPr>
      </w:pPr>
      <w:r>
        <w:rPr>
          <w:rFonts w:hint="eastAsia" w:ascii="Times New Roman" w:hAnsi="Times New Roman"/>
          <w:bCs/>
          <w:color w:val="auto"/>
          <w:sz w:val="24"/>
          <w:szCs w:val="24"/>
          <w:highlight w:val="none"/>
        </w:rPr>
        <w:t>具体指标见表</w:t>
      </w:r>
      <w:r>
        <w:rPr>
          <w:rFonts w:ascii="Times New Roman" w:hAnsi="Times New Roman"/>
          <w:bCs/>
          <w:color w:val="auto"/>
          <w:sz w:val="24"/>
          <w:szCs w:val="24"/>
          <w:highlight w:val="none"/>
        </w:rPr>
        <w:t>2</w:t>
      </w:r>
      <w:r>
        <w:rPr>
          <w:rFonts w:hint="eastAsia" w:ascii="Times New Roman" w:hAnsi="Times New Roman"/>
          <w:bCs/>
          <w:color w:val="auto"/>
          <w:sz w:val="24"/>
          <w:szCs w:val="24"/>
          <w:highlight w:val="none"/>
        </w:rPr>
        <w:t>。</w:t>
      </w:r>
    </w:p>
    <w:p w14:paraId="03DDF385">
      <w:pPr>
        <w:widowControl/>
        <w:kinsoku w:val="0"/>
        <w:autoSpaceDE w:val="0"/>
        <w:autoSpaceDN w:val="0"/>
        <w:adjustRightInd w:val="0"/>
        <w:snapToGrid w:val="0"/>
        <w:spacing w:line="360" w:lineRule="auto"/>
        <w:ind w:firstLine="470"/>
        <w:jc w:val="center"/>
        <w:textAlignment w:val="baseline"/>
        <w:rPr>
          <w:rFonts w:ascii="Times New Roman" w:hAnsi="Times New Roman"/>
          <w:color w:val="auto"/>
          <w:sz w:val="24"/>
          <w:szCs w:val="24"/>
          <w:highlight w:val="none"/>
        </w:rPr>
      </w:pPr>
      <w:r>
        <w:rPr>
          <w:rFonts w:hint="eastAsia" w:ascii="Times New Roman" w:hAnsi="Times New Roman"/>
          <w:b/>
          <w:bCs/>
          <w:color w:val="auto"/>
          <w:spacing w:val="-3"/>
          <w:sz w:val="24"/>
          <w:szCs w:val="24"/>
          <w:highlight w:val="none"/>
        </w:rPr>
        <w:t>表</w:t>
      </w:r>
      <w:r>
        <w:rPr>
          <w:rFonts w:ascii="Times New Roman" w:hAnsi="Times New Roman"/>
          <w:b/>
          <w:bCs/>
          <w:color w:val="auto"/>
          <w:spacing w:val="-3"/>
          <w:sz w:val="24"/>
          <w:szCs w:val="24"/>
          <w:highlight w:val="none"/>
        </w:rPr>
        <w:t xml:space="preserve">2 </w:t>
      </w:r>
      <w:r>
        <w:rPr>
          <w:rFonts w:hint="eastAsia" w:ascii="Times New Roman" w:hAnsi="Times New Roman"/>
          <w:b/>
          <w:bCs/>
          <w:color w:val="auto"/>
          <w:spacing w:val="-3"/>
          <w:sz w:val="24"/>
          <w:szCs w:val="24"/>
          <w:highlight w:val="none"/>
        </w:rPr>
        <w:t>天线技术性能指标表</w:t>
      </w:r>
    </w:p>
    <w:tbl>
      <w:tblPr>
        <w:tblStyle w:val="16"/>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629"/>
        <w:gridCol w:w="5775"/>
      </w:tblGrid>
      <w:tr w14:paraId="09DFC7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564" w:type="pct"/>
            <w:tcBorders>
              <w:bottom w:val="nil"/>
            </w:tcBorders>
            <w:vAlign w:val="center"/>
          </w:tcPr>
          <w:p w14:paraId="77FC8100">
            <w:pPr>
              <w:pStyle w:val="17"/>
              <w:widowControl/>
              <w:kinsoku w:val="0"/>
              <w:autoSpaceDE w:val="0"/>
              <w:autoSpaceDN w:val="0"/>
              <w:adjustRightInd w:val="0"/>
              <w:snapToGrid w:val="0"/>
              <w:spacing w:line="360" w:lineRule="auto"/>
              <w:ind w:firstLine="0" w:firstLineChars="0"/>
              <w:jc w:val="center"/>
              <w:textAlignment w:val="baseline"/>
              <w:rPr>
                <w:rFonts w:ascii="Times New Roman" w:hAnsi="Times New Roman" w:cs="Times New Roman"/>
                <w:color w:val="auto"/>
                <w:highlight w:val="none"/>
              </w:rPr>
            </w:pPr>
            <w:r>
              <w:rPr>
                <w:rFonts w:hint="eastAsia" w:ascii="Times New Roman" w:hAnsi="Times New Roman" w:cs="Times New Roman"/>
                <w:b/>
                <w:bCs/>
                <w:color w:val="auto"/>
                <w:spacing w:val="-9"/>
                <w:highlight w:val="none"/>
              </w:rPr>
              <w:t>项目</w:t>
            </w:r>
          </w:p>
        </w:tc>
        <w:tc>
          <w:tcPr>
            <w:tcW w:w="3435" w:type="pct"/>
            <w:vAlign w:val="center"/>
          </w:tcPr>
          <w:p w14:paraId="5AE6B12B">
            <w:pPr>
              <w:pStyle w:val="17"/>
              <w:widowControl/>
              <w:kinsoku w:val="0"/>
              <w:autoSpaceDE w:val="0"/>
              <w:autoSpaceDN w:val="0"/>
              <w:adjustRightInd w:val="0"/>
              <w:snapToGrid w:val="0"/>
              <w:spacing w:line="360" w:lineRule="auto"/>
              <w:ind w:firstLine="0" w:firstLineChars="0"/>
              <w:jc w:val="center"/>
              <w:textAlignment w:val="baseline"/>
              <w:rPr>
                <w:rFonts w:ascii="Times New Roman" w:hAnsi="Times New Roman" w:cs="Times New Roman"/>
                <w:color w:val="auto"/>
                <w:highlight w:val="none"/>
              </w:rPr>
            </w:pPr>
            <w:r>
              <w:rPr>
                <w:rFonts w:hint="eastAsia" w:ascii="Times New Roman" w:hAnsi="Times New Roman" w:cs="Times New Roman"/>
                <w:b/>
                <w:bCs/>
                <w:color w:val="auto"/>
                <w:spacing w:val="-8"/>
                <w:highlight w:val="none"/>
              </w:rPr>
              <w:t>性能指标</w:t>
            </w:r>
          </w:p>
        </w:tc>
      </w:tr>
      <w:tr w14:paraId="701B16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1564" w:type="pct"/>
            <w:vAlign w:val="center"/>
          </w:tcPr>
          <w:p w14:paraId="78E7D643">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#天线形式</w:t>
            </w:r>
          </w:p>
        </w:tc>
        <w:tc>
          <w:tcPr>
            <w:tcW w:w="3435" w:type="pct"/>
            <w:vAlign w:val="center"/>
          </w:tcPr>
          <w:p w14:paraId="37536BA9">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平面双线偏振相控阵天线</w:t>
            </w:r>
          </w:p>
        </w:tc>
      </w:tr>
      <w:tr w14:paraId="158C8C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564" w:type="pct"/>
            <w:vAlign w:val="center"/>
          </w:tcPr>
          <w:p w14:paraId="17D8452C">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极化方式</w:t>
            </w:r>
          </w:p>
        </w:tc>
        <w:tc>
          <w:tcPr>
            <w:tcW w:w="3435" w:type="pct"/>
            <w:vAlign w:val="center"/>
          </w:tcPr>
          <w:p w14:paraId="5800E8F0">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线性水平、垂直极化</w:t>
            </w:r>
          </w:p>
        </w:tc>
      </w:tr>
      <w:tr w14:paraId="470A67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564" w:type="pct"/>
            <w:vAlign w:val="center"/>
          </w:tcPr>
          <w:p w14:paraId="4B0FC039">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#方位波束宽度（水平极化和垂直极化）</w:t>
            </w:r>
          </w:p>
        </w:tc>
        <w:tc>
          <w:tcPr>
            <w:tcW w:w="3435" w:type="pct"/>
            <w:vAlign w:val="center"/>
          </w:tcPr>
          <w:p w14:paraId="0CFA6843">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发射、接收均≤</w:t>
            </w:r>
            <w:r>
              <w:rPr>
                <w:rFonts w:ascii="Times New Roman" w:hAnsi="Times New Roman"/>
                <w:color w:val="auto"/>
                <w:sz w:val="24"/>
                <w:szCs w:val="24"/>
                <w:highlight w:val="none"/>
              </w:rPr>
              <w:t>1.8°</w:t>
            </w:r>
          </w:p>
        </w:tc>
      </w:tr>
      <w:tr w14:paraId="473A28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1564" w:type="pct"/>
            <w:vAlign w:val="center"/>
          </w:tcPr>
          <w:p w14:paraId="34B85E01">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电扫波束宽度（水平极化和垂直极化）</w:t>
            </w:r>
          </w:p>
        </w:tc>
        <w:tc>
          <w:tcPr>
            <w:tcW w:w="3435" w:type="pct"/>
            <w:vAlign w:val="center"/>
          </w:tcPr>
          <w:p w14:paraId="0DA9B8F4">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发射、接收均法向≤</w:t>
            </w:r>
            <w:r>
              <w:rPr>
                <w:rFonts w:ascii="Times New Roman" w:hAnsi="Times New Roman"/>
                <w:color w:val="auto"/>
                <w:sz w:val="24"/>
                <w:szCs w:val="24"/>
                <w:highlight w:val="none"/>
              </w:rPr>
              <w:t>1.8°</w:t>
            </w:r>
          </w:p>
          <w:p w14:paraId="5D1096D1">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偏离法向±</w:t>
            </w:r>
            <w:r>
              <w:rPr>
                <w:rFonts w:ascii="Times New Roman" w:hAnsi="Times New Roman"/>
                <w:color w:val="auto"/>
                <w:sz w:val="24"/>
                <w:szCs w:val="24"/>
                <w:highlight w:val="none"/>
              </w:rPr>
              <w:t>20°H</w:t>
            </w:r>
            <w:r>
              <w:rPr>
                <w:rFonts w:hint="eastAsia" w:ascii="Times New Roman" w:hAnsi="Times New Roman"/>
                <w:color w:val="auto"/>
                <w:sz w:val="24"/>
                <w:szCs w:val="24"/>
                <w:highlight w:val="none"/>
              </w:rPr>
              <w:t>面和</w:t>
            </w:r>
            <w:r>
              <w:rPr>
                <w:rFonts w:ascii="Times New Roman" w:hAnsi="Times New Roman"/>
                <w:color w:val="auto"/>
                <w:sz w:val="24"/>
                <w:szCs w:val="24"/>
                <w:highlight w:val="none"/>
              </w:rPr>
              <w:t>E</w:t>
            </w:r>
            <w:r>
              <w:rPr>
                <w:rFonts w:hint="eastAsia" w:ascii="Times New Roman" w:hAnsi="Times New Roman"/>
                <w:color w:val="auto"/>
                <w:sz w:val="24"/>
                <w:szCs w:val="24"/>
                <w:highlight w:val="none"/>
              </w:rPr>
              <w:t>面发射、接收均≤</w:t>
            </w:r>
            <w:r>
              <w:rPr>
                <w:rFonts w:ascii="Times New Roman" w:hAnsi="Times New Roman"/>
                <w:color w:val="auto"/>
                <w:sz w:val="24"/>
                <w:szCs w:val="24"/>
                <w:highlight w:val="none"/>
              </w:rPr>
              <w:t>1.91°</w:t>
            </w:r>
          </w:p>
        </w:tc>
      </w:tr>
      <w:tr w14:paraId="06D3FA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564" w:type="pct"/>
            <w:vAlign w:val="center"/>
          </w:tcPr>
          <w:p w14:paraId="74C7FEA2">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#发射增益（法向、不含馈线）</w:t>
            </w:r>
          </w:p>
        </w:tc>
        <w:tc>
          <w:tcPr>
            <w:tcW w:w="3435" w:type="pct"/>
            <w:vAlign w:val="center"/>
          </w:tcPr>
          <w:p w14:paraId="7EF4A9A7">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38.5dB</w:t>
            </w:r>
          </w:p>
        </w:tc>
      </w:tr>
      <w:tr w14:paraId="3C764E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564" w:type="pct"/>
            <w:vAlign w:val="center"/>
          </w:tcPr>
          <w:p w14:paraId="639F5E31">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#发射增益（偏离法向±</w:t>
            </w:r>
            <w:r>
              <w:rPr>
                <w:rFonts w:ascii="Times New Roman" w:hAnsi="Times New Roman"/>
                <w:color w:val="auto"/>
                <w:sz w:val="24"/>
                <w:szCs w:val="24"/>
                <w:highlight w:val="none"/>
              </w:rPr>
              <w:t>20°</w:t>
            </w:r>
            <w:r>
              <w:rPr>
                <w:rFonts w:hint="eastAsia" w:ascii="Times New Roman" w:hAnsi="Times New Roman"/>
                <w:color w:val="auto"/>
                <w:sz w:val="24"/>
                <w:szCs w:val="24"/>
                <w:highlight w:val="none"/>
              </w:rPr>
              <w:t>、不含馈线）</w:t>
            </w:r>
          </w:p>
        </w:tc>
        <w:tc>
          <w:tcPr>
            <w:tcW w:w="3435" w:type="pct"/>
            <w:vAlign w:val="center"/>
          </w:tcPr>
          <w:p w14:paraId="1A834DB6">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37.5dB</w:t>
            </w:r>
          </w:p>
        </w:tc>
      </w:tr>
      <w:tr w14:paraId="7C140A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564" w:type="pct"/>
            <w:vAlign w:val="center"/>
          </w:tcPr>
          <w:p w14:paraId="4CAC3ABE">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#发射增益（发射</w:t>
            </w:r>
            <w:r>
              <w:rPr>
                <w:rFonts w:ascii="Times New Roman" w:hAnsi="Times New Roman"/>
                <w:color w:val="auto"/>
                <w:sz w:val="24"/>
                <w:szCs w:val="24"/>
                <w:highlight w:val="none"/>
              </w:rPr>
              <w:t>4</w:t>
            </w:r>
            <w:r>
              <w:rPr>
                <w:rFonts w:hint="eastAsia" w:ascii="Times New Roman" w:hAnsi="Times New Roman"/>
                <w:color w:val="auto"/>
                <w:sz w:val="24"/>
                <w:szCs w:val="24"/>
                <w:highlight w:val="none"/>
              </w:rPr>
              <w:t>倍波束展宽、不含馈线）</w:t>
            </w:r>
          </w:p>
        </w:tc>
        <w:tc>
          <w:tcPr>
            <w:tcW w:w="3435" w:type="pct"/>
            <w:vAlign w:val="center"/>
          </w:tcPr>
          <w:p w14:paraId="2945A218">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30.5dB</w:t>
            </w:r>
          </w:p>
        </w:tc>
      </w:tr>
      <w:tr w14:paraId="2A3749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564" w:type="pct"/>
            <w:vAlign w:val="center"/>
          </w:tcPr>
          <w:p w14:paraId="6C1A8D7E">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#发射增益（发射</w:t>
            </w:r>
            <w:r>
              <w:rPr>
                <w:rFonts w:ascii="Times New Roman" w:hAnsi="Times New Roman"/>
                <w:color w:val="auto"/>
                <w:sz w:val="24"/>
                <w:szCs w:val="24"/>
                <w:highlight w:val="none"/>
              </w:rPr>
              <w:t>8</w:t>
            </w:r>
            <w:r>
              <w:rPr>
                <w:rFonts w:hint="eastAsia" w:ascii="Times New Roman" w:hAnsi="Times New Roman"/>
                <w:color w:val="auto"/>
                <w:sz w:val="24"/>
                <w:szCs w:val="24"/>
                <w:highlight w:val="none"/>
              </w:rPr>
              <w:t>倍波束展宽、不含馈线）</w:t>
            </w:r>
          </w:p>
        </w:tc>
        <w:tc>
          <w:tcPr>
            <w:tcW w:w="3435" w:type="pct"/>
            <w:vAlign w:val="center"/>
          </w:tcPr>
          <w:p w14:paraId="6916AD76">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27.5dB</w:t>
            </w:r>
          </w:p>
        </w:tc>
      </w:tr>
      <w:tr w14:paraId="685FA4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564" w:type="pct"/>
            <w:vAlign w:val="center"/>
          </w:tcPr>
          <w:p w14:paraId="0B60E142">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发射增益波动（发射</w:t>
            </w:r>
            <w:r>
              <w:rPr>
                <w:rFonts w:ascii="Times New Roman" w:hAnsi="Times New Roman"/>
                <w:color w:val="auto"/>
                <w:sz w:val="24"/>
                <w:szCs w:val="24"/>
                <w:highlight w:val="none"/>
              </w:rPr>
              <w:t>4</w:t>
            </w:r>
            <w:r>
              <w:rPr>
                <w:rFonts w:hint="eastAsia" w:ascii="Times New Roman" w:hAnsi="Times New Roman"/>
                <w:color w:val="auto"/>
                <w:sz w:val="24"/>
                <w:szCs w:val="24"/>
                <w:highlight w:val="none"/>
              </w:rPr>
              <w:t>倍波束展宽）</w:t>
            </w:r>
          </w:p>
        </w:tc>
        <w:tc>
          <w:tcPr>
            <w:tcW w:w="3435" w:type="pct"/>
            <w:vAlign w:val="center"/>
          </w:tcPr>
          <w:p w14:paraId="7FB56C71">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1dB</w:t>
            </w:r>
          </w:p>
        </w:tc>
      </w:tr>
      <w:tr w14:paraId="4D0361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564" w:type="pct"/>
            <w:vAlign w:val="center"/>
          </w:tcPr>
          <w:p w14:paraId="3B039E72">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发射增益波动（发射</w:t>
            </w:r>
            <w:r>
              <w:rPr>
                <w:rFonts w:ascii="Times New Roman" w:hAnsi="Times New Roman"/>
                <w:color w:val="auto"/>
                <w:sz w:val="24"/>
                <w:szCs w:val="24"/>
                <w:highlight w:val="none"/>
              </w:rPr>
              <w:t>8</w:t>
            </w:r>
            <w:r>
              <w:rPr>
                <w:rFonts w:hint="eastAsia" w:ascii="Times New Roman" w:hAnsi="Times New Roman"/>
                <w:color w:val="auto"/>
                <w:sz w:val="24"/>
                <w:szCs w:val="24"/>
                <w:highlight w:val="none"/>
              </w:rPr>
              <w:t>倍波束展宽）</w:t>
            </w:r>
          </w:p>
        </w:tc>
        <w:tc>
          <w:tcPr>
            <w:tcW w:w="3435" w:type="pct"/>
            <w:vAlign w:val="center"/>
          </w:tcPr>
          <w:p w14:paraId="3CC48F41">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2dB</w:t>
            </w:r>
          </w:p>
        </w:tc>
      </w:tr>
      <w:tr w14:paraId="4A6EAC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564" w:type="pct"/>
            <w:vAlign w:val="center"/>
          </w:tcPr>
          <w:p w14:paraId="1011217A">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#接收增益（法向、不含馈线）</w:t>
            </w:r>
          </w:p>
        </w:tc>
        <w:tc>
          <w:tcPr>
            <w:tcW w:w="3435" w:type="pct"/>
            <w:vAlign w:val="center"/>
          </w:tcPr>
          <w:p w14:paraId="48FAFB78">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37.5dB</w:t>
            </w:r>
          </w:p>
        </w:tc>
      </w:tr>
      <w:tr w14:paraId="011654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564" w:type="pct"/>
            <w:vAlign w:val="center"/>
          </w:tcPr>
          <w:p w14:paraId="2CE9E1CA">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#接收增益（偏离法向±</w:t>
            </w:r>
            <w:r>
              <w:rPr>
                <w:rFonts w:ascii="Times New Roman" w:hAnsi="Times New Roman"/>
                <w:color w:val="auto"/>
                <w:sz w:val="24"/>
                <w:szCs w:val="24"/>
                <w:highlight w:val="none"/>
              </w:rPr>
              <w:t>20°</w:t>
            </w:r>
            <w:r>
              <w:rPr>
                <w:rFonts w:hint="eastAsia" w:ascii="Times New Roman" w:hAnsi="Times New Roman"/>
                <w:color w:val="auto"/>
                <w:sz w:val="24"/>
                <w:szCs w:val="24"/>
                <w:highlight w:val="none"/>
              </w:rPr>
              <w:t>、不含馈线）</w:t>
            </w:r>
          </w:p>
        </w:tc>
        <w:tc>
          <w:tcPr>
            <w:tcW w:w="3435" w:type="pct"/>
            <w:vAlign w:val="center"/>
          </w:tcPr>
          <w:p w14:paraId="768EEF8F">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36.5dB</w:t>
            </w:r>
          </w:p>
        </w:tc>
      </w:tr>
      <w:tr w14:paraId="11BADB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 w:hRule="atLeast"/>
        </w:trPr>
        <w:tc>
          <w:tcPr>
            <w:tcW w:w="1564" w:type="pct"/>
            <w:vAlign w:val="center"/>
          </w:tcPr>
          <w:p w14:paraId="0886E75E">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#方位方向最大副瓣电平</w:t>
            </w:r>
          </w:p>
        </w:tc>
        <w:tc>
          <w:tcPr>
            <w:tcW w:w="3435" w:type="pct"/>
            <w:vAlign w:val="center"/>
          </w:tcPr>
          <w:p w14:paraId="5EB16012">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发射、接收均≤</w:t>
            </w:r>
            <w:r>
              <w:rPr>
                <w:rFonts w:ascii="Times New Roman" w:hAnsi="Times New Roman"/>
                <w:color w:val="auto"/>
                <w:sz w:val="24"/>
                <w:szCs w:val="24"/>
                <w:highlight w:val="none"/>
              </w:rPr>
              <w:t>-30dB</w:t>
            </w:r>
          </w:p>
        </w:tc>
      </w:tr>
      <w:tr w14:paraId="322A2A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7" w:hRule="atLeast"/>
        </w:trPr>
        <w:tc>
          <w:tcPr>
            <w:tcW w:w="1564" w:type="pct"/>
            <w:vAlign w:val="center"/>
          </w:tcPr>
          <w:p w14:paraId="79BD5204">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#交叉极化隔离度</w:t>
            </w:r>
          </w:p>
        </w:tc>
        <w:tc>
          <w:tcPr>
            <w:tcW w:w="3435" w:type="pct"/>
            <w:vAlign w:val="center"/>
          </w:tcPr>
          <w:p w14:paraId="6DA849F3">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发射、接收均满足且偏离法向±</w:t>
            </w:r>
            <w:r>
              <w:rPr>
                <w:rFonts w:ascii="Times New Roman" w:hAnsi="Times New Roman"/>
                <w:color w:val="auto"/>
                <w:sz w:val="24"/>
                <w:szCs w:val="24"/>
                <w:highlight w:val="none"/>
              </w:rPr>
              <w:t>10°≥35dB</w:t>
            </w:r>
          </w:p>
          <w:p w14:paraId="16A1C4B4">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发射、接收均满足且偏离法向±</w:t>
            </w:r>
            <w:r>
              <w:rPr>
                <w:rFonts w:ascii="Times New Roman" w:hAnsi="Times New Roman"/>
                <w:color w:val="auto"/>
                <w:sz w:val="24"/>
                <w:szCs w:val="24"/>
                <w:highlight w:val="none"/>
              </w:rPr>
              <w:t>10°</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20°≥33dB</w:t>
            </w:r>
          </w:p>
        </w:tc>
      </w:tr>
      <w:tr w14:paraId="678955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1564" w:type="pct"/>
            <w:vAlign w:val="center"/>
          </w:tcPr>
          <w:p w14:paraId="078693A6">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双极化波束宽度差异</w:t>
            </w:r>
          </w:p>
        </w:tc>
        <w:tc>
          <w:tcPr>
            <w:tcW w:w="3435" w:type="pct"/>
            <w:vAlign w:val="center"/>
          </w:tcPr>
          <w:p w14:paraId="068CBD2A">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H</w:t>
            </w:r>
            <w:r>
              <w:rPr>
                <w:rFonts w:hint="eastAsia" w:ascii="Times New Roman" w:hAnsi="Times New Roman"/>
                <w:color w:val="auto"/>
                <w:sz w:val="24"/>
                <w:szCs w:val="24"/>
                <w:highlight w:val="none"/>
              </w:rPr>
              <w:t>面和</w:t>
            </w:r>
            <w:r>
              <w:rPr>
                <w:rFonts w:ascii="Times New Roman" w:hAnsi="Times New Roman"/>
                <w:color w:val="auto"/>
                <w:sz w:val="24"/>
                <w:szCs w:val="24"/>
                <w:highlight w:val="none"/>
              </w:rPr>
              <w:t>E</w:t>
            </w:r>
            <w:r>
              <w:rPr>
                <w:rFonts w:hint="eastAsia" w:ascii="Times New Roman" w:hAnsi="Times New Roman"/>
                <w:color w:val="auto"/>
                <w:sz w:val="24"/>
                <w:szCs w:val="24"/>
                <w:highlight w:val="none"/>
              </w:rPr>
              <w:t>面发射、接收均≤波束宽度</w:t>
            </w:r>
            <w:r>
              <w:rPr>
                <w:rFonts w:ascii="Times New Roman" w:hAnsi="Times New Roman"/>
                <w:color w:val="auto"/>
                <w:sz w:val="24"/>
                <w:szCs w:val="24"/>
                <w:highlight w:val="none"/>
              </w:rPr>
              <w:t>*5%</w:t>
            </w:r>
          </w:p>
        </w:tc>
      </w:tr>
      <w:tr w14:paraId="45AEDC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564" w:type="pct"/>
            <w:vAlign w:val="center"/>
          </w:tcPr>
          <w:p w14:paraId="0F4DB871">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双极化波束指向一致性</w:t>
            </w:r>
          </w:p>
        </w:tc>
        <w:tc>
          <w:tcPr>
            <w:tcW w:w="3435" w:type="pct"/>
            <w:vAlign w:val="center"/>
          </w:tcPr>
          <w:p w14:paraId="09BD486E">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发射、接收均≤波束宽度</w:t>
            </w:r>
            <w:r>
              <w:rPr>
                <w:rFonts w:ascii="Times New Roman" w:hAnsi="Times New Roman"/>
                <w:color w:val="auto"/>
                <w:sz w:val="24"/>
                <w:szCs w:val="24"/>
                <w:highlight w:val="none"/>
              </w:rPr>
              <w:t>*5%</w:t>
            </w:r>
          </w:p>
        </w:tc>
      </w:tr>
      <w:tr w14:paraId="55BB80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564" w:type="pct"/>
            <w:vAlign w:val="center"/>
          </w:tcPr>
          <w:p w14:paraId="55048247">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#驻波比</w:t>
            </w:r>
          </w:p>
        </w:tc>
        <w:tc>
          <w:tcPr>
            <w:tcW w:w="3435" w:type="pct"/>
            <w:vAlign w:val="center"/>
          </w:tcPr>
          <w:p w14:paraId="5382F75A">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1.5</w:t>
            </w:r>
          </w:p>
        </w:tc>
      </w:tr>
    </w:tbl>
    <w:p w14:paraId="2FCB6AE6">
      <w:pPr>
        <w:tabs>
          <w:tab w:val="left" w:pos="2340"/>
        </w:tabs>
        <w:spacing w:line="360" w:lineRule="auto"/>
        <w:ind w:firstLine="482"/>
        <w:rPr>
          <w:rFonts w:ascii="Times New Roman" w:hAnsi="Times New Roman"/>
          <w:b/>
          <w:color w:val="auto"/>
          <w:sz w:val="24"/>
          <w:szCs w:val="24"/>
          <w:highlight w:val="none"/>
        </w:rPr>
      </w:pPr>
      <w:bookmarkStart w:id="452" w:name="bookmark21"/>
      <w:bookmarkEnd w:id="452"/>
      <w:r>
        <w:rPr>
          <w:rFonts w:ascii="Times New Roman" w:hAnsi="Times New Roman"/>
          <w:b/>
          <w:color w:val="auto"/>
          <w:sz w:val="24"/>
          <w:szCs w:val="24"/>
          <w:highlight w:val="none"/>
        </w:rPr>
        <w:t>3.2.1.3</w:t>
      </w:r>
      <w:r>
        <w:rPr>
          <w:rFonts w:hint="eastAsia" w:ascii="Times New Roman" w:hAnsi="Times New Roman"/>
          <w:b/>
          <w:color w:val="auto"/>
          <w:sz w:val="24"/>
          <w:szCs w:val="24"/>
          <w:highlight w:val="none"/>
        </w:rPr>
        <w:t>天线阵面和伺服系统技术指标</w:t>
      </w:r>
    </w:p>
    <w:p w14:paraId="668334CC">
      <w:pPr>
        <w:tabs>
          <w:tab w:val="left" w:pos="2340"/>
        </w:tabs>
        <w:spacing w:line="360" w:lineRule="auto"/>
        <w:ind w:firstLine="480"/>
        <w:rPr>
          <w:rFonts w:ascii="Times New Roman" w:hAnsi="Times New Roman"/>
          <w:bCs/>
          <w:color w:val="auto"/>
          <w:sz w:val="24"/>
          <w:szCs w:val="24"/>
          <w:highlight w:val="none"/>
        </w:rPr>
      </w:pPr>
      <w:r>
        <w:rPr>
          <w:rFonts w:hint="eastAsia" w:ascii="Times New Roman" w:hAnsi="Times New Roman"/>
          <w:bCs/>
          <w:color w:val="auto"/>
          <w:sz w:val="24"/>
          <w:szCs w:val="24"/>
          <w:highlight w:val="none"/>
        </w:rPr>
        <w:t>天线阵面和伺服系统的技术指标包括：扫描方式、天线扫描范围、扫描速度、波束指向误差、伺服控制误差等。具体指标见下表。具体指标见表</w:t>
      </w:r>
      <w:r>
        <w:rPr>
          <w:rFonts w:ascii="Times New Roman" w:hAnsi="Times New Roman"/>
          <w:bCs/>
          <w:color w:val="auto"/>
          <w:sz w:val="24"/>
          <w:szCs w:val="24"/>
          <w:highlight w:val="none"/>
        </w:rPr>
        <w:t>3</w:t>
      </w:r>
      <w:r>
        <w:rPr>
          <w:rFonts w:hint="eastAsia" w:ascii="Times New Roman" w:hAnsi="Times New Roman"/>
          <w:bCs/>
          <w:color w:val="auto"/>
          <w:sz w:val="24"/>
          <w:szCs w:val="24"/>
          <w:highlight w:val="none"/>
        </w:rPr>
        <w:t>。</w:t>
      </w:r>
    </w:p>
    <w:p w14:paraId="7EAEB002">
      <w:pPr>
        <w:widowControl/>
        <w:kinsoku w:val="0"/>
        <w:autoSpaceDE w:val="0"/>
        <w:autoSpaceDN w:val="0"/>
        <w:adjustRightInd w:val="0"/>
        <w:snapToGrid w:val="0"/>
        <w:spacing w:line="360" w:lineRule="auto"/>
        <w:ind w:firstLine="466"/>
        <w:jc w:val="center"/>
        <w:textAlignment w:val="baseline"/>
        <w:rPr>
          <w:rFonts w:ascii="Times New Roman" w:hAnsi="Times New Roman"/>
          <w:b/>
          <w:bCs/>
          <w:color w:val="auto"/>
          <w:sz w:val="24"/>
          <w:szCs w:val="24"/>
          <w:highlight w:val="none"/>
        </w:rPr>
      </w:pPr>
      <w:r>
        <w:rPr>
          <w:rFonts w:hint="eastAsia" w:ascii="Times New Roman" w:hAnsi="Times New Roman"/>
          <w:b/>
          <w:bCs/>
          <w:color w:val="auto"/>
          <w:spacing w:val="-4"/>
          <w:sz w:val="24"/>
          <w:szCs w:val="24"/>
          <w:highlight w:val="none"/>
        </w:rPr>
        <w:t>表</w:t>
      </w:r>
      <w:r>
        <w:rPr>
          <w:rFonts w:ascii="Times New Roman" w:hAnsi="Times New Roman"/>
          <w:b/>
          <w:bCs/>
          <w:color w:val="auto"/>
          <w:spacing w:val="-4"/>
          <w:sz w:val="24"/>
          <w:szCs w:val="24"/>
          <w:highlight w:val="none"/>
        </w:rPr>
        <w:t xml:space="preserve">3 </w:t>
      </w:r>
      <w:r>
        <w:rPr>
          <w:rFonts w:hint="eastAsia" w:ascii="Times New Roman" w:hAnsi="Times New Roman"/>
          <w:b/>
          <w:bCs/>
          <w:color w:val="auto"/>
          <w:spacing w:val="-4"/>
          <w:sz w:val="24"/>
          <w:szCs w:val="24"/>
          <w:highlight w:val="none"/>
        </w:rPr>
        <w:t>天线阵面和伺服系统技术性能指标表</w:t>
      </w:r>
    </w:p>
    <w:tbl>
      <w:tblPr>
        <w:tblStyle w:val="16"/>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184"/>
        <w:gridCol w:w="1696"/>
        <w:gridCol w:w="4524"/>
      </w:tblGrid>
      <w:tr w14:paraId="20670F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2308" w:type="pct"/>
            <w:gridSpan w:val="2"/>
            <w:vAlign w:val="center"/>
          </w:tcPr>
          <w:p w14:paraId="0258A76F">
            <w:pPr>
              <w:pStyle w:val="17"/>
              <w:widowControl/>
              <w:kinsoku w:val="0"/>
              <w:autoSpaceDE w:val="0"/>
              <w:autoSpaceDN w:val="0"/>
              <w:adjustRightInd w:val="0"/>
              <w:snapToGrid w:val="0"/>
              <w:spacing w:line="360" w:lineRule="auto"/>
              <w:ind w:firstLine="0" w:firstLineChars="0"/>
              <w:jc w:val="center"/>
              <w:textAlignment w:val="baseline"/>
              <w:rPr>
                <w:rFonts w:ascii="Times New Roman" w:hAnsi="Times New Roman" w:cs="Times New Roman"/>
                <w:b/>
                <w:bCs/>
                <w:color w:val="auto"/>
                <w:spacing w:val="-9"/>
                <w:highlight w:val="none"/>
              </w:rPr>
            </w:pPr>
            <w:r>
              <w:rPr>
                <w:rFonts w:hint="eastAsia" w:ascii="Times New Roman" w:hAnsi="Times New Roman" w:cs="Times New Roman"/>
                <w:b/>
                <w:bCs/>
                <w:color w:val="auto"/>
                <w:spacing w:val="-9"/>
                <w:highlight w:val="none"/>
              </w:rPr>
              <w:t>项目</w:t>
            </w:r>
          </w:p>
        </w:tc>
        <w:tc>
          <w:tcPr>
            <w:tcW w:w="2691" w:type="pct"/>
            <w:vAlign w:val="center"/>
          </w:tcPr>
          <w:p w14:paraId="0094834A">
            <w:pPr>
              <w:pStyle w:val="17"/>
              <w:widowControl/>
              <w:kinsoku w:val="0"/>
              <w:autoSpaceDE w:val="0"/>
              <w:autoSpaceDN w:val="0"/>
              <w:adjustRightInd w:val="0"/>
              <w:snapToGrid w:val="0"/>
              <w:spacing w:line="360" w:lineRule="auto"/>
              <w:ind w:firstLine="0" w:firstLineChars="0"/>
              <w:jc w:val="center"/>
              <w:textAlignment w:val="baseline"/>
              <w:rPr>
                <w:rFonts w:ascii="Times New Roman" w:hAnsi="Times New Roman" w:cs="Times New Roman"/>
                <w:b/>
                <w:bCs/>
                <w:color w:val="auto"/>
                <w:spacing w:val="-9"/>
                <w:highlight w:val="none"/>
              </w:rPr>
            </w:pPr>
            <w:r>
              <w:rPr>
                <w:rFonts w:hint="eastAsia" w:ascii="Times New Roman" w:hAnsi="Times New Roman" w:cs="Times New Roman"/>
                <w:b/>
                <w:bCs/>
                <w:color w:val="auto"/>
                <w:spacing w:val="-9"/>
                <w:highlight w:val="none"/>
              </w:rPr>
              <w:t>性能指标</w:t>
            </w:r>
          </w:p>
        </w:tc>
      </w:tr>
      <w:tr w14:paraId="166684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2308" w:type="pct"/>
            <w:gridSpan w:val="2"/>
            <w:vAlign w:val="center"/>
          </w:tcPr>
          <w:p w14:paraId="04DEB4CD">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波束扫描方式</w:t>
            </w:r>
          </w:p>
        </w:tc>
        <w:tc>
          <w:tcPr>
            <w:tcW w:w="2691" w:type="pct"/>
            <w:vAlign w:val="center"/>
          </w:tcPr>
          <w:p w14:paraId="53E68EA2">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平面位置扫描、体积扫描、扇形扫描、定点扫描、用户自定义</w:t>
            </w:r>
          </w:p>
        </w:tc>
      </w:tr>
      <w:tr w14:paraId="4249B9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299" w:type="pct"/>
            <w:vMerge w:val="restart"/>
            <w:tcBorders>
              <w:bottom w:val="nil"/>
            </w:tcBorders>
            <w:vAlign w:val="center"/>
          </w:tcPr>
          <w:p w14:paraId="4CEBFB82">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波束扫描范围</w:t>
            </w:r>
          </w:p>
        </w:tc>
        <w:tc>
          <w:tcPr>
            <w:tcW w:w="1008" w:type="pct"/>
            <w:vAlign w:val="center"/>
          </w:tcPr>
          <w:p w14:paraId="0F601468">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方位机械扫描</w:t>
            </w:r>
          </w:p>
        </w:tc>
        <w:tc>
          <w:tcPr>
            <w:tcW w:w="2691" w:type="pct"/>
            <w:vAlign w:val="center"/>
          </w:tcPr>
          <w:p w14:paraId="3B402ED0">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0</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360°</w:t>
            </w:r>
            <w:r>
              <w:rPr>
                <w:rFonts w:hint="eastAsia" w:ascii="Times New Roman" w:hAnsi="Times New Roman"/>
                <w:color w:val="auto"/>
                <w:sz w:val="24"/>
                <w:szCs w:val="24"/>
                <w:highlight w:val="none"/>
              </w:rPr>
              <w:t>连续扫描</w:t>
            </w:r>
          </w:p>
        </w:tc>
      </w:tr>
      <w:tr w14:paraId="653CB6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299" w:type="pct"/>
            <w:vMerge w:val="continue"/>
            <w:tcBorders>
              <w:top w:val="nil"/>
              <w:bottom w:val="nil"/>
            </w:tcBorders>
            <w:vAlign w:val="center"/>
          </w:tcPr>
          <w:p w14:paraId="3D104050">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p>
        </w:tc>
        <w:tc>
          <w:tcPr>
            <w:tcW w:w="1008" w:type="pct"/>
            <w:vAlign w:val="center"/>
          </w:tcPr>
          <w:p w14:paraId="3087CDAF">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俯仰电子扫描</w:t>
            </w:r>
          </w:p>
        </w:tc>
        <w:tc>
          <w:tcPr>
            <w:tcW w:w="2691" w:type="pct"/>
            <w:vAlign w:val="center"/>
          </w:tcPr>
          <w:p w14:paraId="531A5901">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-2</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+60°</w:t>
            </w:r>
          </w:p>
        </w:tc>
      </w:tr>
      <w:tr w14:paraId="6ADD9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299" w:type="pct"/>
            <w:vMerge w:val="continue"/>
            <w:tcBorders>
              <w:top w:val="nil"/>
            </w:tcBorders>
            <w:vAlign w:val="center"/>
          </w:tcPr>
          <w:p w14:paraId="0131F39D">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p>
        </w:tc>
        <w:tc>
          <w:tcPr>
            <w:tcW w:w="1008" w:type="pct"/>
            <w:vAlign w:val="center"/>
          </w:tcPr>
          <w:p w14:paraId="4D15B6B1">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俯仰机械调整</w:t>
            </w:r>
          </w:p>
        </w:tc>
        <w:tc>
          <w:tcPr>
            <w:tcW w:w="2691" w:type="pct"/>
            <w:vAlign w:val="center"/>
          </w:tcPr>
          <w:p w14:paraId="1E37B334">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天线阵面法向</w:t>
            </w:r>
            <w:r>
              <w:rPr>
                <w:rFonts w:ascii="Times New Roman" w:hAnsi="Times New Roman"/>
                <w:color w:val="auto"/>
                <w:sz w:val="24"/>
                <w:szCs w:val="24"/>
                <w:highlight w:val="none"/>
              </w:rPr>
              <w:t>0</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+90°</w:t>
            </w:r>
          </w:p>
        </w:tc>
      </w:tr>
      <w:tr w14:paraId="16432E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299" w:type="pct"/>
            <w:vAlign w:val="center"/>
          </w:tcPr>
          <w:p w14:paraId="794DCEA4">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天线阵面扫描速度</w:t>
            </w:r>
          </w:p>
        </w:tc>
        <w:tc>
          <w:tcPr>
            <w:tcW w:w="1008" w:type="pct"/>
            <w:vAlign w:val="center"/>
          </w:tcPr>
          <w:p w14:paraId="78C79ACB">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方位</w:t>
            </w:r>
          </w:p>
        </w:tc>
        <w:tc>
          <w:tcPr>
            <w:tcW w:w="2691" w:type="pct"/>
            <w:vAlign w:val="center"/>
          </w:tcPr>
          <w:p w14:paraId="61457B21">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0</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36°/s</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6°/s</w:t>
            </w:r>
            <w:r>
              <w:rPr>
                <w:rFonts w:hint="eastAsia" w:ascii="Times New Roman" w:hAnsi="Times New Roman"/>
                <w:color w:val="auto"/>
                <w:sz w:val="24"/>
                <w:szCs w:val="24"/>
                <w:highlight w:val="none"/>
              </w:rPr>
              <w:t>时误差不大于</w:t>
            </w:r>
            <w:r>
              <w:rPr>
                <w:rFonts w:ascii="Times New Roman" w:hAnsi="Times New Roman"/>
                <w:color w:val="auto"/>
                <w:sz w:val="24"/>
                <w:szCs w:val="24"/>
                <w:highlight w:val="none"/>
              </w:rPr>
              <w:t>5%</w:t>
            </w:r>
          </w:p>
        </w:tc>
      </w:tr>
      <w:tr w14:paraId="7FFD4A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299" w:type="pct"/>
            <w:vMerge w:val="restart"/>
            <w:tcBorders>
              <w:bottom w:val="nil"/>
            </w:tcBorders>
            <w:vAlign w:val="center"/>
          </w:tcPr>
          <w:p w14:paraId="47D471DF">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#波束指向误差</w:t>
            </w:r>
          </w:p>
        </w:tc>
        <w:tc>
          <w:tcPr>
            <w:tcW w:w="1008" w:type="pct"/>
            <w:vAlign w:val="center"/>
          </w:tcPr>
          <w:p w14:paraId="21F2285C">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方位</w:t>
            </w:r>
          </w:p>
        </w:tc>
        <w:tc>
          <w:tcPr>
            <w:tcW w:w="2691" w:type="pct"/>
            <w:vAlign w:val="center"/>
          </w:tcPr>
          <w:p w14:paraId="003B129C">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0.05°</w:t>
            </w:r>
          </w:p>
        </w:tc>
      </w:tr>
      <w:tr w14:paraId="35AE62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299" w:type="pct"/>
            <w:vMerge w:val="continue"/>
            <w:tcBorders>
              <w:top w:val="nil"/>
            </w:tcBorders>
            <w:vAlign w:val="center"/>
          </w:tcPr>
          <w:p w14:paraId="3C07525E">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p>
        </w:tc>
        <w:tc>
          <w:tcPr>
            <w:tcW w:w="1008" w:type="pct"/>
            <w:vAlign w:val="center"/>
          </w:tcPr>
          <w:p w14:paraId="07342503">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俯仰</w:t>
            </w:r>
          </w:p>
        </w:tc>
        <w:tc>
          <w:tcPr>
            <w:tcW w:w="2691" w:type="pct"/>
            <w:vAlign w:val="center"/>
          </w:tcPr>
          <w:p w14:paraId="0172D6CB">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0.05°</w:t>
            </w:r>
          </w:p>
        </w:tc>
      </w:tr>
      <w:tr w14:paraId="4AD92A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299" w:type="pct"/>
            <w:vAlign w:val="center"/>
          </w:tcPr>
          <w:p w14:paraId="70D1353A">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伺服控制误差</w:t>
            </w:r>
          </w:p>
        </w:tc>
        <w:tc>
          <w:tcPr>
            <w:tcW w:w="1008" w:type="pct"/>
            <w:vAlign w:val="center"/>
          </w:tcPr>
          <w:p w14:paraId="7062CA3B">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方位</w:t>
            </w:r>
          </w:p>
        </w:tc>
        <w:tc>
          <w:tcPr>
            <w:tcW w:w="2691" w:type="pct"/>
            <w:vAlign w:val="center"/>
          </w:tcPr>
          <w:p w14:paraId="689D4BEE">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0.05°</w:t>
            </w:r>
          </w:p>
        </w:tc>
      </w:tr>
      <w:tr w14:paraId="127AFA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308" w:type="pct"/>
            <w:gridSpan w:val="2"/>
            <w:vAlign w:val="center"/>
          </w:tcPr>
          <w:p w14:paraId="1AAF058D">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天线座水平度</w:t>
            </w:r>
          </w:p>
        </w:tc>
        <w:tc>
          <w:tcPr>
            <w:tcW w:w="2691" w:type="pct"/>
            <w:vAlign w:val="center"/>
          </w:tcPr>
          <w:p w14:paraId="5C240493">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30″</w:t>
            </w:r>
          </w:p>
        </w:tc>
      </w:tr>
      <w:tr w14:paraId="0F4886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308" w:type="pct"/>
            <w:gridSpan w:val="2"/>
            <w:vAlign w:val="center"/>
          </w:tcPr>
          <w:p w14:paraId="1D93F1A7">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#天线阵面控制字长</w:t>
            </w:r>
          </w:p>
        </w:tc>
        <w:tc>
          <w:tcPr>
            <w:tcW w:w="2691" w:type="pct"/>
            <w:vAlign w:val="center"/>
          </w:tcPr>
          <w:p w14:paraId="72442A11">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16</w:t>
            </w:r>
            <w:r>
              <w:rPr>
                <w:rFonts w:hint="eastAsia" w:ascii="Times New Roman" w:hAnsi="Times New Roman"/>
                <w:color w:val="auto"/>
                <w:sz w:val="24"/>
                <w:szCs w:val="24"/>
                <w:highlight w:val="none"/>
              </w:rPr>
              <w:t>位</w:t>
            </w:r>
          </w:p>
        </w:tc>
      </w:tr>
      <w:tr w14:paraId="2324BF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308" w:type="pct"/>
            <w:gridSpan w:val="2"/>
            <w:vAlign w:val="center"/>
          </w:tcPr>
          <w:p w14:paraId="74BAD390">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#角度编码器字长</w:t>
            </w:r>
          </w:p>
        </w:tc>
        <w:tc>
          <w:tcPr>
            <w:tcW w:w="2691" w:type="pct"/>
            <w:vAlign w:val="center"/>
          </w:tcPr>
          <w:p w14:paraId="24AD2018">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16</w:t>
            </w:r>
            <w:r>
              <w:rPr>
                <w:rFonts w:hint="eastAsia" w:ascii="Times New Roman" w:hAnsi="Times New Roman"/>
                <w:color w:val="auto"/>
                <w:sz w:val="24"/>
                <w:szCs w:val="24"/>
                <w:highlight w:val="none"/>
              </w:rPr>
              <w:t>位</w:t>
            </w:r>
          </w:p>
        </w:tc>
      </w:tr>
      <w:tr w14:paraId="3F8A57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2308" w:type="pct"/>
            <w:gridSpan w:val="2"/>
            <w:vAlign w:val="center"/>
          </w:tcPr>
          <w:p w14:paraId="57149006">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安全与保护</w:t>
            </w:r>
          </w:p>
        </w:tc>
        <w:tc>
          <w:tcPr>
            <w:tcW w:w="2691" w:type="pct"/>
            <w:vAlign w:val="center"/>
          </w:tcPr>
          <w:p w14:paraId="58015A66">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天线阵面应设有辅助支撑锁定机构，以保证其在运输架设时的安全性和稳定性。天线阵面的方位和俯仰运转系统中应具有安全保护措施并具备锁定功能。</w:t>
            </w:r>
          </w:p>
        </w:tc>
      </w:tr>
    </w:tbl>
    <w:p w14:paraId="26EFFEB5">
      <w:pPr>
        <w:tabs>
          <w:tab w:val="left" w:pos="2340"/>
        </w:tabs>
        <w:spacing w:line="360" w:lineRule="auto"/>
        <w:ind w:firstLine="482"/>
        <w:rPr>
          <w:rFonts w:ascii="Times New Roman" w:hAnsi="Times New Roman"/>
          <w:b/>
          <w:color w:val="auto"/>
          <w:sz w:val="24"/>
          <w:szCs w:val="24"/>
          <w:highlight w:val="none"/>
        </w:rPr>
      </w:pPr>
      <w:bookmarkStart w:id="453" w:name="bookmark22"/>
      <w:bookmarkEnd w:id="453"/>
      <w:r>
        <w:rPr>
          <w:rFonts w:ascii="Times New Roman" w:hAnsi="Times New Roman"/>
          <w:b/>
          <w:color w:val="auto"/>
          <w:sz w:val="24"/>
          <w:szCs w:val="24"/>
          <w:highlight w:val="none"/>
        </w:rPr>
        <w:t>3.2.1.4</w:t>
      </w:r>
      <w:r>
        <w:rPr>
          <w:rFonts w:hint="eastAsia" w:ascii="Times New Roman" w:hAnsi="Times New Roman"/>
          <w:b/>
          <w:color w:val="auto"/>
          <w:sz w:val="24"/>
          <w:szCs w:val="24"/>
          <w:highlight w:val="none"/>
        </w:rPr>
        <w:t>数字收发单元技术指标</w:t>
      </w:r>
    </w:p>
    <w:p w14:paraId="0E96C8D3">
      <w:pPr>
        <w:tabs>
          <w:tab w:val="left" w:pos="2340"/>
        </w:tabs>
        <w:spacing w:line="360" w:lineRule="auto"/>
        <w:ind w:firstLine="480"/>
        <w:rPr>
          <w:rFonts w:ascii="Times New Roman" w:hAnsi="Times New Roman"/>
          <w:bCs/>
          <w:color w:val="auto"/>
          <w:sz w:val="24"/>
          <w:szCs w:val="24"/>
          <w:highlight w:val="none"/>
        </w:rPr>
      </w:pPr>
      <w:r>
        <w:rPr>
          <w:rFonts w:hint="eastAsia" w:ascii="Times New Roman" w:hAnsi="Times New Roman"/>
          <w:bCs/>
          <w:color w:val="auto"/>
          <w:sz w:val="24"/>
          <w:szCs w:val="24"/>
          <w:highlight w:val="none"/>
        </w:rPr>
        <w:t>（</w:t>
      </w:r>
      <w:r>
        <w:rPr>
          <w:rFonts w:ascii="Times New Roman" w:hAnsi="Times New Roman"/>
          <w:bCs/>
          <w:color w:val="auto"/>
          <w:sz w:val="24"/>
          <w:szCs w:val="24"/>
          <w:highlight w:val="none"/>
        </w:rPr>
        <w:t>1</w:t>
      </w:r>
      <w:r>
        <w:rPr>
          <w:rFonts w:hint="eastAsia" w:ascii="Times New Roman" w:hAnsi="Times New Roman"/>
          <w:bCs/>
          <w:color w:val="auto"/>
          <w:sz w:val="24"/>
          <w:szCs w:val="24"/>
          <w:highlight w:val="none"/>
        </w:rPr>
        <w:t>）发射单元技术指标</w:t>
      </w:r>
    </w:p>
    <w:p w14:paraId="72821694">
      <w:pPr>
        <w:tabs>
          <w:tab w:val="left" w:pos="2340"/>
        </w:tabs>
        <w:spacing w:line="360" w:lineRule="auto"/>
        <w:ind w:firstLine="480"/>
        <w:rPr>
          <w:rFonts w:ascii="Times New Roman" w:hAnsi="Times New Roman"/>
          <w:bCs/>
          <w:color w:val="auto"/>
          <w:sz w:val="24"/>
          <w:szCs w:val="24"/>
          <w:highlight w:val="none"/>
        </w:rPr>
      </w:pPr>
      <w:r>
        <w:rPr>
          <w:rFonts w:hint="eastAsia" w:ascii="Times New Roman" w:hAnsi="Times New Roman"/>
          <w:bCs/>
          <w:color w:val="auto"/>
          <w:sz w:val="24"/>
          <w:szCs w:val="24"/>
          <w:highlight w:val="none"/>
        </w:rPr>
        <w:t>主要包括：</w:t>
      </w:r>
      <w:r>
        <w:rPr>
          <w:rFonts w:ascii="Times New Roman" w:hAnsi="Times New Roman"/>
          <w:bCs/>
          <w:color w:val="auto"/>
          <w:sz w:val="24"/>
          <w:szCs w:val="24"/>
          <w:highlight w:val="none"/>
        </w:rPr>
        <w:t>EIRP</w:t>
      </w:r>
      <w:r>
        <w:rPr>
          <w:rFonts w:hint="eastAsia" w:ascii="Times New Roman" w:hAnsi="Times New Roman"/>
          <w:bCs/>
          <w:color w:val="auto"/>
          <w:sz w:val="24"/>
          <w:szCs w:val="24"/>
          <w:highlight w:val="none"/>
        </w:rPr>
        <w:t>、脉冲峰值总功率、脉冲宽度、重复频率、改善因子、频谱特性等，具体指标见表</w:t>
      </w:r>
      <w:r>
        <w:rPr>
          <w:rFonts w:ascii="Times New Roman" w:hAnsi="Times New Roman"/>
          <w:bCs/>
          <w:color w:val="auto"/>
          <w:sz w:val="24"/>
          <w:szCs w:val="24"/>
          <w:highlight w:val="none"/>
        </w:rPr>
        <w:t>4</w:t>
      </w:r>
      <w:r>
        <w:rPr>
          <w:rFonts w:hint="eastAsia" w:ascii="Times New Roman" w:hAnsi="Times New Roman"/>
          <w:bCs/>
          <w:color w:val="auto"/>
          <w:sz w:val="24"/>
          <w:szCs w:val="24"/>
          <w:highlight w:val="none"/>
        </w:rPr>
        <w:t>。</w:t>
      </w:r>
    </w:p>
    <w:p w14:paraId="0EF0A151">
      <w:pPr>
        <w:widowControl/>
        <w:kinsoku w:val="0"/>
        <w:autoSpaceDE w:val="0"/>
        <w:autoSpaceDN w:val="0"/>
        <w:adjustRightInd w:val="0"/>
        <w:snapToGrid w:val="0"/>
        <w:spacing w:line="360" w:lineRule="auto"/>
        <w:jc w:val="center"/>
        <w:textAlignment w:val="baseline"/>
        <w:rPr>
          <w:rFonts w:ascii="Times New Roman" w:hAnsi="Times New Roman"/>
          <w:b/>
          <w:bCs/>
          <w:color w:val="auto"/>
          <w:sz w:val="24"/>
          <w:szCs w:val="24"/>
          <w:highlight w:val="none"/>
        </w:rPr>
      </w:pPr>
      <w:r>
        <w:rPr>
          <w:rFonts w:hint="eastAsia" w:ascii="Times New Roman" w:hAnsi="Times New Roman"/>
          <w:b/>
          <w:bCs/>
          <w:color w:val="auto"/>
          <w:spacing w:val="-4"/>
          <w:sz w:val="24"/>
          <w:szCs w:val="24"/>
          <w:highlight w:val="none"/>
        </w:rPr>
        <w:t>表</w:t>
      </w:r>
      <w:r>
        <w:rPr>
          <w:rFonts w:ascii="Times New Roman" w:hAnsi="Times New Roman"/>
          <w:b/>
          <w:bCs/>
          <w:color w:val="auto"/>
          <w:spacing w:val="-4"/>
          <w:sz w:val="24"/>
          <w:szCs w:val="24"/>
          <w:highlight w:val="none"/>
        </w:rPr>
        <w:t xml:space="preserve">4 </w:t>
      </w:r>
      <w:r>
        <w:rPr>
          <w:rFonts w:hint="eastAsia" w:ascii="Times New Roman" w:hAnsi="Times New Roman"/>
          <w:b/>
          <w:bCs/>
          <w:color w:val="auto"/>
          <w:spacing w:val="-4"/>
          <w:sz w:val="24"/>
          <w:szCs w:val="24"/>
          <w:highlight w:val="none"/>
        </w:rPr>
        <w:t>发射单元技术性能指标表</w:t>
      </w:r>
    </w:p>
    <w:tbl>
      <w:tblPr>
        <w:tblStyle w:val="16"/>
        <w:tblW w:w="5011"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023"/>
        <w:gridCol w:w="1399"/>
        <w:gridCol w:w="5002"/>
      </w:tblGrid>
      <w:tr w14:paraId="400B9F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2031" w:type="pct"/>
            <w:gridSpan w:val="2"/>
            <w:tcBorders>
              <w:bottom w:val="nil"/>
            </w:tcBorders>
            <w:vAlign w:val="center"/>
          </w:tcPr>
          <w:p w14:paraId="37A19AA3">
            <w:pPr>
              <w:pStyle w:val="17"/>
              <w:widowControl/>
              <w:kinsoku w:val="0"/>
              <w:autoSpaceDE w:val="0"/>
              <w:autoSpaceDN w:val="0"/>
              <w:adjustRightInd w:val="0"/>
              <w:snapToGrid w:val="0"/>
              <w:spacing w:line="360" w:lineRule="auto"/>
              <w:ind w:left="105" w:leftChars="50" w:firstLine="0" w:firstLineChars="0"/>
              <w:jc w:val="center"/>
              <w:textAlignment w:val="baseline"/>
              <w:rPr>
                <w:rFonts w:ascii="Times New Roman" w:hAnsi="Times New Roman" w:cs="Times New Roman"/>
                <w:b/>
                <w:bCs/>
                <w:color w:val="auto"/>
                <w:spacing w:val="-9"/>
                <w:highlight w:val="none"/>
              </w:rPr>
            </w:pPr>
            <w:r>
              <w:rPr>
                <w:rFonts w:hint="eastAsia" w:ascii="Times New Roman" w:hAnsi="Times New Roman" w:cs="Times New Roman"/>
                <w:b/>
                <w:bCs/>
                <w:color w:val="auto"/>
                <w:spacing w:val="-9"/>
                <w:highlight w:val="none"/>
              </w:rPr>
              <w:t>项目</w:t>
            </w:r>
          </w:p>
        </w:tc>
        <w:tc>
          <w:tcPr>
            <w:tcW w:w="2966" w:type="pct"/>
            <w:vAlign w:val="center"/>
          </w:tcPr>
          <w:p w14:paraId="49E7CE03">
            <w:pPr>
              <w:pStyle w:val="17"/>
              <w:widowControl/>
              <w:kinsoku w:val="0"/>
              <w:autoSpaceDE w:val="0"/>
              <w:autoSpaceDN w:val="0"/>
              <w:adjustRightInd w:val="0"/>
              <w:snapToGrid w:val="0"/>
              <w:spacing w:line="360" w:lineRule="auto"/>
              <w:ind w:left="105" w:leftChars="50" w:firstLine="0" w:firstLineChars="0"/>
              <w:jc w:val="center"/>
              <w:textAlignment w:val="baseline"/>
              <w:rPr>
                <w:rFonts w:ascii="Times New Roman" w:hAnsi="Times New Roman" w:cs="Times New Roman"/>
                <w:b/>
                <w:bCs/>
                <w:color w:val="auto"/>
                <w:spacing w:val="-9"/>
                <w:highlight w:val="none"/>
              </w:rPr>
            </w:pPr>
            <w:r>
              <w:rPr>
                <w:rFonts w:hint="eastAsia" w:ascii="Times New Roman" w:hAnsi="Times New Roman" w:cs="Times New Roman"/>
                <w:b/>
                <w:bCs/>
                <w:color w:val="auto"/>
                <w:spacing w:val="-9"/>
                <w:highlight w:val="none"/>
              </w:rPr>
              <w:t>性能指标</w:t>
            </w:r>
          </w:p>
        </w:tc>
      </w:tr>
      <w:tr w14:paraId="41FAEE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2031" w:type="pct"/>
            <w:gridSpan w:val="2"/>
            <w:vAlign w:val="center"/>
          </w:tcPr>
          <w:p w14:paraId="5D636F75">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发射通道形式</w:t>
            </w:r>
          </w:p>
        </w:tc>
        <w:tc>
          <w:tcPr>
            <w:tcW w:w="2966" w:type="pct"/>
            <w:vAlign w:val="center"/>
          </w:tcPr>
          <w:p w14:paraId="0FF4E345">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全固态分布式</w:t>
            </w:r>
          </w:p>
        </w:tc>
      </w:tr>
      <w:tr w14:paraId="23EB20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2031" w:type="pct"/>
            <w:gridSpan w:val="2"/>
            <w:vAlign w:val="center"/>
          </w:tcPr>
          <w:p w14:paraId="14656BDF">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#脉冲峰值功率（单极化）</w:t>
            </w:r>
          </w:p>
        </w:tc>
        <w:tc>
          <w:tcPr>
            <w:tcW w:w="2966" w:type="pct"/>
            <w:vAlign w:val="center"/>
          </w:tcPr>
          <w:p w14:paraId="29FA014C">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1000W</w:t>
            </w:r>
          </w:p>
        </w:tc>
      </w:tr>
      <w:tr w14:paraId="67B455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031" w:type="pct"/>
            <w:gridSpan w:val="2"/>
            <w:vAlign w:val="center"/>
          </w:tcPr>
          <w:p w14:paraId="770FF2F9">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EIRP</w:t>
            </w:r>
            <w:r>
              <w:rPr>
                <w:rFonts w:hint="eastAsia" w:ascii="Times New Roman" w:hAnsi="Times New Roman"/>
                <w:color w:val="auto"/>
                <w:sz w:val="24"/>
                <w:szCs w:val="24"/>
                <w:highlight w:val="none"/>
              </w:rPr>
              <w:t>（法向、单极化）</w:t>
            </w:r>
          </w:p>
        </w:tc>
        <w:tc>
          <w:tcPr>
            <w:tcW w:w="2966" w:type="pct"/>
            <w:vAlign w:val="center"/>
          </w:tcPr>
          <w:p w14:paraId="6D9F2329">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96.5dBm</w:t>
            </w:r>
          </w:p>
        </w:tc>
      </w:tr>
      <w:tr w14:paraId="62F0E8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031" w:type="pct"/>
            <w:gridSpan w:val="2"/>
            <w:vAlign w:val="center"/>
          </w:tcPr>
          <w:p w14:paraId="0911A5EE">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EIRP(±20°</w:t>
            </w:r>
            <w:r>
              <w:rPr>
                <w:rFonts w:hint="eastAsia" w:ascii="Times New Roman" w:hAnsi="Times New Roman"/>
                <w:color w:val="auto"/>
                <w:sz w:val="24"/>
                <w:szCs w:val="24"/>
                <w:highlight w:val="none"/>
              </w:rPr>
              <w:t>、单极化</w:t>
            </w:r>
            <w:r>
              <w:rPr>
                <w:rFonts w:ascii="Times New Roman" w:hAnsi="Times New Roman"/>
                <w:color w:val="auto"/>
                <w:sz w:val="24"/>
                <w:szCs w:val="24"/>
                <w:highlight w:val="none"/>
              </w:rPr>
              <w:t>)</w:t>
            </w:r>
          </w:p>
        </w:tc>
        <w:tc>
          <w:tcPr>
            <w:tcW w:w="2966" w:type="pct"/>
            <w:vAlign w:val="center"/>
          </w:tcPr>
          <w:p w14:paraId="462E09B2">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95.5dBm</w:t>
            </w:r>
          </w:p>
        </w:tc>
      </w:tr>
      <w:tr w14:paraId="44E66C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031" w:type="pct"/>
            <w:gridSpan w:val="2"/>
            <w:vAlign w:val="center"/>
          </w:tcPr>
          <w:p w14:paraId="35DE5FB9">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EIRP</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4</w:t>
            </w:r>
            <w:r>
              <w:rPr>
                <w:rFonts w:hint="eastAsia" w:ascii="Times New Roman" w:hAnsi="Times New Roman"/>
                <w:color w:val="auto"/>
                <w:sz w:val="24"/>
                <w:szCs w:val="24"/>
                <w:highlight w:val="none"/>
              </w:rPr>
              <w:t>倍波束展宽、单极化）</w:t>
            </w:r>
          </w:p>
        </w:tc>
        <w:tc>
          <w:tcPr>
            <w:tcW w:w="2966" w:type="pct"/>
            <w:vAlign w:val="center"/>
          </w:tcPr>
          <w:p w14:paraId="484224F3">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88.5dBm</w:t>
            </w:r>
          </w:p>
        </w:tc>
      </w:tr>
      <w:tr w14:paraId="4BCFF0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031" w:type="pct"/>
            <w:gridSpan w:val="2"/>
            <w:vAlign w:val="center"/>
          </w:tcPr>
          <w:p w14:paraId="07D9B364">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EIRP</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8</w:t>
            </w:r>
            <w:r>
              <w:rPr>
                <w:rFonts w:hint="eastAsia" w:ascii="Times New Roman" w:hAnsi="Times New Roman"/>
                <w:color w:val="auto"/>
                <w:sz w:val="24"/>
                <w:szCs w:val="24"/>
                <w:highlight w:val="none"/>
              </w:rPr>
              <w:t>倍波束展宽、单极化）</w:t>
            </w:r>
          </w:p>
        </w:tc>
        <w:tc>
          <w:tcPr>
            <w:tcW w:w="2966" w:type="pct"/>
            <w:vAlign w:val="center"/>
          </w:tcPr>
          <w:p w14:paraId="20806EA3">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85.5dBm</w:t>
            </w:r>
          </w:p>
        </w:tc>
      </w:tr>
      <w:tr w14:paraId="7A51AC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031" w:type="pct"/>
            <w:gridSpan w:val="2"/>
            <w:vAlign w:val="center"/>
          </w:tcPr>
          <w:p w14:paraId="26CB9A80">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校准后</w:t>
            </w:r>
            <w:r>
              <w:rPr>
                <w:rFonts w:ascii="Times New Roman" w:hAnsi="Times New Roman"/>
                <w:color w:val="auto"/>
                <w:sz w:val="24"/>
                <w:szCs w:val="24"/>
                <w:highlight w:val="none"/>
              </w:rPr>
              <w:t>EIRP</w:t>
            </w:r>
            <w:r>
              <w:rPr>
                <w:rFonts w:hint="eastAsia" w:ascii="Times New Roman" w:hAnsi="Times New Roman"/>
                <w:color w:val="auto"/>
                <w:sz w:val="24"/>
                <w:szCs w:val="24"/>
                <w:highlight w:val="none"/>
              </w:rPr>
              <w:t>偏差</w:t>
            </w:r>
          </w:p>
        </w:tc>
        <w:tc>
          <w:tcPr>
            <w:tcW w:w="2966" w:type="pct"/>
            <w:vAlign w:val="center"/>
          </w:tcPr>
          <w:p w14:paraId="7FBCB152">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0.8dB</w:t>
            </w:r>
          </w:p>
        </w:tc>
      </w:tr>
      <w:tr w14:paraId="01B781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031" w:type="pct"/>
            <w:gridSpan w:val="2"/>
            <w:vAlign w:val="center"/>
          </w:tcPr>
          <w:p w14:paraId="663195B4">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最大发射占空比</w:t>
            </w:r>
          </w:p>
        </w:tc>
        <w:tc>
          <w:tcPr>
            <w:tcW w:w="2966" w:type="pct"/>
            <w:vAlign w:val="center"/>
          </w:tcPr>
          <w:p w14:paraId="06CEE0D0">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20%</w:t>
            </w:r>
          </w:p>
        </w:tc>
      </w:tr>
      <w:tr w14:paraId="0A8E31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2031" w:type="pct"/>
            <w:gridSpan w:val="2"/>
            <w:vAlign w:val="center"/>
          </w:tcPr>
          <w:p w14:paraId="580A1707">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#发射脉冲宽度</w:t>
            </w:r>
          </w:p>
        </w:tc>
        <w:tc>
          <w:tcPr>
            <w:tcW w:w="2966" w:type="pct"/>
            <w:vAlign w:val="center"/>
          </w:tcPr>
          <w:p w14:paraId="0DC8DA08">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0.2</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200μs</w:t>
            </w:r>
            <w:r>
              <w:rPr>
                <w:rFonts w:hint="eastAsia" w:ascii="Times New Roman" w:hAnsi="Times New Roman"/>
                <w:color w:val="auto"/>
                <w:sz w:val="24"/>
                <w:szCs w:val="24"/>
                <w:highlight w:val="none"/>
              </w:rPr>
              <w:t>可选，典型脉冲宽度包括</w:t>
            </w:r>
            <w:r>
              <w:rPr>
                <w:rFonts w:ascii="Times New Roman" w:hAnsi="Times New Roman"/>
                <w:color w:val="auto"/>
                <w:sz w:val="24"/>
                <w:szCs w:val="24"/>
                <w:highlight w:val="none"/>
              </w:rPr>
              <w:t>0.5μs</w:t>
            </w:r>
            <w:r>
              <w:rPr>
                <w:rFonts w:hint="eastAsia" w:ascii="Times New Roman" w:hAnsi="Times New Roman"/>
                <w:color w:val="auto"/>
                <w:sz w:val="24"/>
                <w:szCs w:val="24"/>
                <w:highlight w:val="none"/>
              </w:rPr>
              <w:t>、</w:t>
            </w:r>
          </w:p>
          <w:p w14:paraId="7B4DDFA6">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1.0μs</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2.0μs</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10μs</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20μs</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40μs</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80μs</w:t>
            </w:r>
            <w:r>
              <w:rPr>
                <w:rFonts w:hint="eastAsia" w:ascii="Times New Roman" w:hAnsi="Times New Roman"/>
                <w:color w:val="auto"/>
                <w:sz w:val="24"/>
                <w:szCs w:val="24"/>
                <w:highlight w:val="none"/>
              </w:rPr>
              <w:t>等。</w:t>
            </w:r>
          </w:p>
          <w:p w14:paraId="6E9EE40E">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脉冲宽度≥</w:t>
            </w:r>
            <w:r>
              <w:rPr>
                <w:rFonts w:ascii="Times New Roman" w:hAnsi="Times New Roman"/>
                <w:color w:val="auto"/>
                <w:sz w:val="24"/>
                <w:szCs w:val="24"/>
                <w:highlight w:val="none"/>
              </w:rPr>
              <w:t>0.5μs</w:t>
            </w:r>
            <w:r>
              <w:rPr>
                <w:rFonts w:hint="eastAsia" w:ascii="Times New Roman" w:hAnsi="Times New Roman"/>
                <w:color w:val="auto"/>
                <w:sz w:val="24"/>
                <w:szCs w:val="24"/>
                <w:highlight w:val="none"/>
              </w:rPr>
              <w:t>时，上升沿：≤</w:t>
            </w:r>
            <w:r>
              <w:rPr>
                <w:rFonts w:ascii="Times New Roman" w:hAnsi="Times New Roman"/>
                <w:color w:val="auto"/>
                <w:sz w:val="24"/>
                <w:szCs w:val="24"/>
                <w:highlight w:val="none"/>
              </w:rPr>
              <w:t>200ns</w:t>
            </w:r>
            <w:r>
              <w:rPr>
                <w:rFonts w:hint="eastAsia" w:ascii="Times New Roman" w:hAnsi="Times New Roman"/>
                <w:color w:val="auto"/>
                <w:sz w:val="24"/>
                <w:szCs w:val="24"/>
                <w:highlight w:val="none"/>
              </w:rPr>
              <w:t>，下降沿：≤</w:t>
            </w:r>
            <w:r>
              <w:rPr>
                <w:rFonts w:ascii="Times New Roman" w:hAnsi="Times New Roman"/>
                <w:color w:val="auto"/>
                <w:sz w:val="24"/>
                <w:szCs w:val="24"/>
                <w:highlight w:val="none"/>
              </w:rPr>
              <w:t>200ns</w:t>
            </w:r>
            <w:r>
              <w:rPr>
                <w:rFonts w:hint="eastAsia" w:ascii="Times New Roman" w:hAnsi="Times New Roman"/>
                <w:color w:val="auto"/>
                <w:sz w:val="24"/>
                <w:szCs w:val="24"/>
                <w:highlight w:val="none"/>
              </w:rPr>
              <w:t>。</w:t>
            </w:r>
          </w:p>
          <w:p w14:paraId="2A19E804">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脉冲宽度≥</w:t>
            </w:r>
            <w:r>
              <w:rPr>
                <w:rFonts w:ascii="Times New Roman" w:hAnsi="Times New Roman"/>
                <w:color w:val="auto"/>
                <w:sz w:val="24"/>
                <w:szCs w:val="24"/>
                <w:highlight w:val="none"/>
              </w:rPr>
              <w:t>1.0μs</w:t>
            </w:r>
            <w:r>
              <w:rPr>
                <w:rFonts w:hint="eastAsia" w:ascii="Times New Roman" w:hAnsi="Times New Roman"/>
                <w:color w:val="auto"/>
                <w:sz w:val="24"/>
                <w:szCs w:val="24"/>
                <w:highlight w:val="none"/>
              </w:rPr>
              <w:t>时，顶降：≤</w:t>
            </w:r>
            <w:r>
              <w:rPr>
                <w:rFonts w:ascii="Times New Roman" w:hAnsi="Times New Roman"/>
                <w:color w:val="auto"/>
                <w:sz w:val="24"/>
                <w:szCs w:val="24"/>
                <w:highlight w:val="none"/>
              </w:rPr>
              <w:t>5%</w:t>
            </w:r>
            <w:r>
              <w:rPr>
                <w:rFonts w:hint="eastAsia" w:ascii="Times New Roman" w:hAnsi="Times New Roman"/>
                <w:color w:val="auto"/>
                <w:sz w:val="24"/>
                <w:szCs w:val="24"/>
                <w:highlight w:val="none"/>
              </w:rPr>
              <w:t>。</w:t>
            </w:r>
          </w:p>
        </w:tc>
      </w:tr>
      <w:tr w14:paraId="3191A6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031" w:type="pct"/>
            <w:gridSpan w:val="2"/>
            <w:vAlign w:val="center"/>
          </w:tcPr>
          <w:p w14:paraId="6DF10FBD">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脉冲重复频率</w:t>
            </w:r>
          </w:p>
        </w:tc>
        <w:tc>
          <w:tcPr>
            <w:tcW w:w="2966" w:type="pct"/>
            <w:vAlign w:val="center"/>
          </w:tcPr>
          <w:p w14:paraId="12845332">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300</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5000Hz</w:t>
            </w:r>
          </w:p>
        </w:tc>
      </w:tr>
      <w:tr w14:paraId="56EFE5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2031" w:type="pct"/>
            <w:gridSpan w:val="2"/>
            <w:vAlign w:val="center"/>
          </w:tcPr>
          <w:p w14:paraId="056A446B">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#输出端极限改善因子</w:t>
            </w:r>
          </w:p>
        </w:tc>
        <w:tc>
          <w:tcPr>
            <w:tcW w:w="2966" w:type="pct"/>
            <w:vAlign w:val="center"/>
          </w:tcPr>
          <w:p w14:paraId="63ED48C1">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52dB</w:t>
            </w:r>
            <w:r>
              <w:rPr>
                <w:rFonts w:hint="eastAsia" w:ascii="Times New Roman" w:hAnsi="Times New Roman"/>
                <w:color w:val="auto"/>
                <w:sz w:val="24"/>
                <w:szCs w:val="24"/>
                <w:highlight w:val="none"/>
              </w:rPr>
              <w:t>（重复频率</w:t>
            </w:r>
            <w:r>
              <w:rPr>
                <w:rFonts w:ascii="Times New Roman" w:hAnsi="Times New Roman"/>
                <w:color w:val="auto"/>
                <w:sz w:val="24"/>
                <w:szCs w:val="24"/>
                <w:highlight w:val="none"/>
              </w:rPr>
              <w:t>1000Hz</w:t>
            </w:r>
            <w:r>
              <w:rPr>
                <w:rFonts w:hint="eastAsia" w:ascii="Times New Roman" w:hAnsi="Times New Roman"/>
                <w:color w:val="auto"/>
                <w:sz w:val="24"/>
                <w:szCs w:val="24"/>
                <w:highlight w:val="none"/>
              </w:rPr>
              <w:t>、脉冲宽度</w:t>
            </w:r>
            <w:r>
              <w:rPr>
                <w:rFonts w:ascii="Times New Roman" w:hAnsi="Times New Roman"/>
                <w:color w:val="auto"/>
                <w:sz w:val="24"/>
                <w:szCs w:val="24"/>
                <w:highlight w:val="none"/>
              </w:rPr>
              <w:t>1μs</w:t>
            </w:r>
            <w:r>
              <w:rPr>
                <w:rFonts w:hint="eastAsia" w:ascii="Times New Roman" w:hAnsi="Times New Roman"/>
                <w:color w:val="auto"/>
                <w:sz w:val="24"/>
                <w:szCs w:val="24"/>
                <w:highlight w:val="none"/>
              </w:rPr>
              <w:t>、带宽</w:t>
            </w:r>
            <w:r>
              <w:rPr>
                <w:rFonts w:ascii="Times New Roman" w:hAnsi="Times New Roman"/>
                <w:color w:val="auto"/>
                <w:sz w:val="24"/>
                <w:szCs w:val="24"/>
                <w:highlight w:val="none"/>
              </w:rPr>
              <w:t>1MHz</w:t>
            </w:r>
            <w:r>
              <w:rPr>
                <w:rFonts w:hint="eastAsia" w:ascii="Times New Roman" w:hAnsi="Times New Roman"/>
                <w:color w:val="auto"/>
                <w:sz w:val="24"/>
                <w:szCs w:val="24"/>
                <w:highlight w:val="none"/>
              </w:rPr>
              <w:t>）</w:t>
            </w:r>
          </w:p>
        </w:tc>
      </w:tr>
      <w:tr w14:paraId="446540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201" w:type="pct"/>
            <w:vMerge w:val="restart"/>
            <w:tcBorders>
              <w:bottom w:val="nil"/>
            </w:tcBorders>
            <w:vAlign w:val="center"/>
          </w:tcPr>
          <w:p w14:paraId="144B903B">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#频谱特性（距中心频率频谱线衰减量</w:t>
            </w:r>
            <w:r>
              <w:rPr>
                <w:rFonts w:ascii="Times New Roman" w:hAnsi="Times New Roman"/>
                <w:color w:val="auto"/>
                <w:sz w:val="24"/>
                <w:szCs w:val="24"/>
                <w:highlight w:val="none"/>
              </w:rPr>
              <w:t>-40dB</w:t>
            </w:r>
            <w:r>
              <w:rPr>
                <w:rFonts w:hint="eastAsia" w:ascii="Times New Roman" w:hAnsi="Times New Roman"/>
                <w:color w:val="auto"/>
                <w:sz w:val="24"/>
                <w:szCs w:val="24"/>
                <w:highlight w:val="none"/>
              </w:rPr>
              <w:t>处）</w:t>
            </w:r>
          </w:p>
        </w:tc>
        <w:tc>
          <w:tcPr>
            <w:tcW w:w="829" w:type="pct"/>
            <w:vAlign w:val="center"/>
          </w:tcPr>
          <w:p w14:paraId="31FFFD82">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左频偏</w:t>
            </w:r>
          </w:p>
        </w:tc>
        <w:tc>
          <w:tcPr>
            <w:tcW w:w="2966" w:type="pct"/>
            <w:vAlign w:val="center"/>
          </w:tcPr>
          <w:p w14:paraId="06561DB0">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-15MHz</w:t>
            </w:r>
            <w:r>
              <w:rPr>
                <w:rFonts w:hint="eastAsia" w:ascii="Times New Roman" w:hAnsi="Times New Roman"/>
                <w:color w:val="auto"/>
                <w:sz w:val="24"/>
                <w:szCs w:val="24"/>
                <w:highlight w:val="none"/>
              </w:rPr>
              <w:t>（脉宽</w:t>
            </w:r>
            <w:r>
              <w:rPr>
                <w:rFonts w:ascii="Times New Roman" w:hAnsi="Times New Roman"/>
                <w:color w:val="auto"/>
                <w:sz w:val="24"/>
                <w:szCs w:val="24"/>
                <w:highlight w:val="none"/>
              </w:rPr>
              <w:t>1μs</w:t>
            </w:r>
            <w:r>
              <w:rPr>
                <w:rFonts w:hint="eastAsia" w:ascii="Times New Roman" w:hAnsi="Times New Roman"/>
                <w:color w:val="auto"/>
                <w:sz w:val="24"/>
                <w:szCs w:val="24"/>
                <w:highlight w:val="none"/>
              </w:rPr>
              <w:t>，带宽</w:t>
            </w:r>
            <w:r>
              <w:rPr>
                <w:rFonts w:ascii="Times New Roman" w:hAnsi="Times New Roman"/>
                <w:color w:val="auto"/>
                <w:sz w:val="24"/>
                <w:szCs w:val="24"/>
                <w:highlight w:val="none"/>
              </w:rPr>
              <w:t>1MHz</w:t>
            </w:r>
            <w:r>
              <w:rPr>
                <w:rFonts w:hint="eastAsia" w:ascii="Times New Roman" w:hAnsi="Times New Roman"/>
                <w:color w:val="auto"/>
                <w:sz w:val="24"/>
                <w:szCs w:val="24"/>
                <w:highlight w:val="none"/>
              </w:rPr>
              <w:t>）</w:t>
            </w:r>
          </w:p>
        </w:tc>
      </w:tr>
      <w:tr w14:paraId="603B22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01" w:type="pct"/>
            <w:vMerge w:val="continue"/>
            <w:tcBorders>
              <w:top w:val="nil"/>
            </w:tcBorders>
            <w:vAlign w:val="center"/>
          </w:tcPr>
          <w:p w14:paraId="095990DD">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p>
        </w:tc>
        <w:tc>
          <w:tcPr>
            <w:tcW w:w="829" w:type="pct"/>
            <w:vAlign w:val="center"/>
          </w:tcPr>
          <w:p w14:paraId="7944E8D8">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右频偏</w:t>
            </w:r>
          </w:p>
        </w:tc>
        <w:tc>
          <w:tcPr>
            <w:tcW w:w="2966" w:type="pct"/>
            <w:vAlign w:val="center"/>
          </w:tcPr>
          <w:p w14:paraId="2F25A795">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15MHz</w:t>
            </w:r>
            <w:r>
              <w:rPr>
                <w:rFonts w:hint="eastAsia" w:ascii="Times New Roman" w:hAnsi="Times New Roman"/>
                <w:color w:val="auto"/>
                <w:sz w:val="24"/>
                <w:szCs w:val="24"/>
                <w:highlight w:val="none"/>
              </w:rPr>
              <w:t>（脉宽</w:t>
            </w:r>
            <w:r>
              <w:rPr>
                <w:rFonts w:ascii="Times New Roman" w:hAnsi="Times New Roman"/>
                <w:color w:val="auto"/>
                <w:sz w:val="24"/>
                <w:szCs w:val="24"/>
                <w:highlight w:val="none"/>
              </w:rPr>
              <w:t>1μs</w:t>
            </w:r>
            <w:r>
              <w:rPr>
                <w:rFonts w:hint="eastAsia" w:ascii="Times New Roman" w:hAnsi="Times New Roman"/>
                <w:color w:val="auto"/>
                <w:sz w:val="24"/>
                <w:szCs w:val="24"/>
                <w:highlight w:val="none"/>
              </w:rPr>
              <w:t>，带宽</w:t>
            </w:r>
            <w:r>
              <w:rPr>
                <w:rFonts w:ascii="Times New Roman" w:hAnsi="Times New Roman"/>
                <w:color w:val="auto"/>
                <w:sz w:val="24"/>
                <w:szCs w:val="24"/>
                <w:highlight w:val="none"/>
              </w:rPr>
              <w:t>1MHz</w:t>
            </w:r>
            <w:r>
              <w:rPr>
                <w:rFonts w:hint="eastAsia" w:ascii="Times New Roman" w:hAnsi="Times New Roman"/>
                <w:color w:val="auto"/>
                <w:sz w:val="24"/>
                <w:szCs w:val="24"/>
                <w:highlight w:val="none"/>
              </w:rPr>
              <w:t>）</w:t>
            </w:r>
          </w:p>
        </w:tc>
      </w:tr>
      <w:tr w14:paraId="2F9DAF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2031" w:type="pct"/>
            <w:gridSpan w:val="2"/>
            <w:vAlign w:val="center"/>
          </w:tcPr>
          <w:p w14:paraId="59C4BA10">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谐波和杂散抑制</w:t>
            </w:r>
          </w:p>
        </w:tc>
        <w:tc>
          <w:tcPr>
            <w:tcW w:w="2968" w:type="pct"/>
            <w:vAlign w:val="center"/>
          </w:tcPr>
          <w:p w14:paraId="44F7A362">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40dB</w:t>
            </w:r>
          </w:p>
        </w:tc>
      </w:tr>
      <w:tr w14:paraId="2989AC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2031" w:type="pct"/>
            <w:gridSpan w:val="2"/>
            <w:vAlign w:val="center"/>
          </w:tcPr>
          <w:p w14:paraId="44AC2043">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故障检测和保护</w:t>
            </w:r>
          </w:p>
        </w:tc>
        <w:tc>
          <w:tcPr>
            <w:tcW w:w="2968" w:type="pct"/>
            <w:vAlign w:val="center"/>
          </w:tcPr>
          <w:p w14:paraId="76C0131C">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发生过温，过压，过流等情况时可报警并实现自保，输出功率低时输出报警信号</w:t>
            </w:r>
          </w:p>
        </w:tc>
      </w:tr>
    </w:tbl>
    <w:p w14:paraId="0AECD946">
      <w:pPr>
        <w:tabs>
          <w:tab w:val="left" w:pos="2340"/>
        </w:tabs>
        <w:spacing w:line="360" w:lineRule="auto"/>
        <w:ind w:firstLine="480"/>
        <w:rPr>
          <w:rFonts w:ascii="Times New Roman" w:hAnsi="Times New Roman"/>
          <w:bCs/>
          <w:color w:val="auto"/>
          <w:sz w:val="24"/>
          <w:szCs w:val="24"/>
          <w:highlight w:val="none"/>
        </w:rPr>
      </w:pPr>
      <w:r>
        <w:rPr>
          <w:rFonts w:hint="eastAsia" w:ascii="Times New Roman" w:hAnsi="Times New Roman"/>
          <w:bCs/>
          <w:color w:val="auto"/>
          <w:sz w:val="24"/>
          <w:szCs w:val="24"/>
          <w:highlight w:val="none"/>
        </w:rPr>
        <w:t>（</w:t>
      </w:r>
      <w:r>
        <w:rPr>
          <w:rFonts w:ascii="Times New Roman" w:hAnsi="Times New Roman"/>
          <w:bCs/>
          <w:color w:val="auto"/>
          <w:sz w:val="24"/>
          <w:szCs w:val="24"/>
          <w:highlight w:val="none"/>
        </w:rPr>
        <w:t>2</w:t>
      </w:r>
      <w:r>
        <w:rPr>
          <w:rFonts w:hint="eastAsia" w:ascii="Times New Roman" w:hAnsi="Times New Roman"/>
          <w:bCs/>
          <w:color w:val="auto"/>
          <w:sz w:val="24"/>
          <w:szCs w:val="24"/>
          <w:highlight w:val="none"/>
        </w:rPr>
        <w:t>）接收单元技术指标</w:t>
      </w:r>
    </w:p>
    <w:p w14:paraId="134854AB">
      <w:pPr>
        <w:tabs>
          <w:tab w:val="left" w:pos="2340"/>
        </w:tabs>
        <w:spacing w:line="360" w:lineRule="auto"/>
        <w:ind w:firstLine="480"/>
        <w:rPr>
          <w:rFonts w:ascii="Times New Roman" w:hAnsi="Times New Roman"/>
          <w:bCs/>
          <w:color w:val="auto"/>
          <w:sz w:val="24"/>
          <w:szCs w:val="24"/>
          <w:highlight w:val="none"/>
        </w:rPr>
      </w:pPr>
      <w:r>
        <w:rPr>
          <w:rFonts w:hint="eastAsia" w:ascii="Times New Roman" w:hAnsi="Times New Roman"/>
          <w:bCs/>
          <w:color w:val="auto"/>
          <w:sz w:val="24"/>
          <w:szCs w:val="24"/>
          <w:highlight w:val="none"/>
        </w:rPr>
        <w:t>主要包括：</w:t>
      </w:r>
      <w:r>
        <w:rPr>
          <w:rFonts w:ascii="Times New Roman" w:hAnsi="Times New Roman"/>
          <w:bCs/>
          <w:color w:val="auto"/>
          <w:sz w:val="24"/>
          <w:szCs w:val="24"/>
          <w:highlight w:val="none"/>
        </w:rPr>
        <w:t>G/T</w:t>
      </w:r>
      <w:r>
        <w:rPr>
          <w:rFonts w:hint="eastAsia" w:ascii="Times New Roman" w:hAnsi="Times New Roman"/>
          <w:bCs/>
          <w:color w:val="auto"/>
          <w:sz w:val="24"/>
          <w:szCs w:val="24"/>
          <w:highlight w:val="none"/>
        </w:rPr>
        <w:t>、动态范围、最小可测功率等，具体指标见表</w:t>
      </w:r>
      <w:r>
        <w:rPr>
          <w:rFonts w:ascii="Times New Roman" w:hAnsi="Times New Roman"/>
          <w:bCs/>
          <w:color w:val="auto"/>
          <w:sz w:val="24"/>
          <w:szCs w:val="24"/>
          <w:highlight w:val="none"/>
        </w:rPr>
        <w:t>5</w:t>
      </w:r>
      <w:r>
        <w:rPr>
          <w:rFonts w:hint="eastAsia" w:ascii="Times New Roman" w:hAnsi="Times New Roman"/>
          <w:bCs/>
          <w:color w:val="auto"/>
          <w:sz w:val="24"/>
          <w:szCs w:val="24"/>
          <w:highlight w:val="none"/>
        </w:rPr>
        <w:t>。</w:t>
      </w:r>
    </w:p>
    <w:p w14:paraId="3EB86514">
      <w:pPr>
        <w:widowControl/>
        <w:kinsoku w:val="0"/>
        <w:autoSpaceDE w:val="0"/>
        <w:autoSpaceDN w:val="0"/>
        <w:adjustRightInd w:val="0"/>
        <w:snapToGrid w:val="0"/>
        <w:spacing w:line="360" w:lineRule="auto"/>
        <w:jc w:val="center"/>
        <w:textAlignment w:val="baseline"/>
        <w:rPr>
          <w:rFonts w:ascii="Times New Roman" w:hAnsi="Times New Roman"/>
          <w:b/>
          <w:bCs/>
          <w:color w:val="auto"/>
          <w:sz w:val="24"/>
          <w:szCs w:val="24"/>
          <w:highlight w:val="none"/>
        </w:rPr>
      </w:pPr>
      <w:r>
        <w:rPr>
          <w:rFonts w:hint="eastAsia" w:ascii="Times New Roman" w:hAnsi="Times New Roman"/>
          <w:b/>
          <w:bCs/>
          <w:color w:val="auto"/>
          <w:spacing w:val="-4"/>
          <w:sz w:val="24"/>
          <w:szCs w:val="24"/>
          <w:highlight w:val="none"/>
        </w:rPr>
        <w:t>表</w:t>
      </w:r>
      <w:r>
        <w:rPr>
          <w:rFonts w:ascii="Times New Roman" w:hAnsi="Times New Roman"/>
          <w:b/>
          <w:bCs/>
          <w:color w:val="auto"/>
          <w:spacing w:val="-4"/>
          <w:sz w:val="24"/>
          <w:szCs w:val="24"/>
          <w:highlight w:val="none"/>
        </w:rPr>
        <w:t xml:space="preserve">5 </w:t>
      </w:r>
      <w:r>
        <w:rPr>
          <w:rFonts w:hint="eastAsia" w:ascii="Times New Roman" w:hAnsi="Times New Roman"/>
          <w:b/>
          <w:bCs/>
          <w:color w:val="auto"/>
          <w:spacing w:val="-4"/>
          <w:sz w:val="24"/>
          <w:szCs w:val="24"/>
          <w:highlight w:val="none"/>
        </w:rPr>
        <w:t>接收单元技术性能指标表</w:t>
      </w:r>
    </w:p>
    <w:tbl>
      <w:tblPr>
        <w:tblStyle w:val="16"/>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3505"/>
        <w:gridCol w:w="4899"/>
      </w:tblGrid>
      <w:tr w14:paraId="5076E3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085" w:type="pct"/>
            <w:tcBorders>
              <w:bottom w:val="nil"/>
            </w:tcBorders>
          </w:tcPr>
          <w:p w14:paraId="1184717D">
            <w:pPr>
              <w:pStyle w:val="17"/>
              <w:widowControl/>
              <w:kinsoku w:val="0"/>
              <w:autoSpaceDE w:val="0"/>
              <w:autoSpaceDN w:val="0"/>
              <w:adjustRightInd w:val="0"/>
              <w:snapToGrid w:val="0"/>
              <w:spacing w:line="360" w:lineRule="auto"/>
              <w:ind w:firstLine="0" w:firstLineChars="0"/>
              <w:jc w:val="center"/>
              <w:textAlignment w:val="baseline"/>
              <w:rPr>
                <w:rFonts w:ascii="Times New Roman" w:hAnsi="Times New Roman" w:cs="Times New Roman"/>
                <w:b/>
                <w:bCs/>
                <w:color w:val="auto"/>
                <w:spacing w:val="-9"/>
                <w:highlight w:val="none"/>
              </w:rPr>
            </w:pPr>
            <w:r>
              <w:rPr>
                <w:rFonts w:hint="eastAsia" w:ascii="Times New Roman" w:hAnsi="Times New Roman" w:cs="Times New Roman"/>
                <w:b/>
                <w:bCs/>
                <w:color w:val="auto"/>
                <w:spacing w:val="-9"/>
                <w:highlight w:val="none"/>
              </w:rPr>
              <w:t>项目</w:t>
            </w:r>
          </w:p>
        </w:tc>
        <w:tc>
          <w:tcPr>
            <w:tcW w:w="2914" w:type="pct"/>
          </w:tcPr>
          <w:p w14:paraId="45B9617C">
            <w:pPr>
              <w:pStyle w:val="17"/>
              <w:widowControl/>
              <w:kinsoku w:val="0"/>
              <w:autoSpaceDE w:val="0"/>
              <w:autoSpaceDN w:val="0"/>
              <w:adjustRightInd w:val="0"/>
              <w:snapToGrid w:val="0"/>
              <w:spacing w:line="360" w:lineRule="auto"/>
              <w:ind w:firstLine="0" w:firstLineChars="0"/>
              <w:jc w:val="center"/>
              <w:textAlignment w:val="baseline"/>
              <w:rPr>
                <w:rFonts w:ascii="Times New Roman" w:hAnsi="Times New Roman" w:cs="Times New Roman"/>
                <w:b/>
                <w:bCs/>
                <w:color w:val="auto"/>
                <w:spacing w:val="-9"/>
                <w:highlight w:val="none"/>
              </w:rPr>
            </w:pPr>
            <w:r>
              <w:rPr>
                <w:rFonts w:hint="eastAsia" w:ascii="Times New Roman" w:hAnsi="Times New Roman" w:cs="Times New Roman"/>
                <w:b/>
                <w:bCs/>
                <w:color w:val="auto"/>
                <w:spacing w:val="-9"/>
                <w:highlight w:val="none"/>
              </w:rPr>
              <w:t>性能指标</w:t>
            </w:r>
          </w:p>
        </w:tc>
      </w:tr>
      <w:tr w14:paraId="574147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2085" w:type="pct"/>
          </w:tcPr>
          <w:p w14:paraId="1B051D83">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G/T</w:t>
            </w:r>
            <w:r>
              <w:rPr>
                <w:rFonts w:hint="eastAsia" w:ascii="Times New Roman" w:hAnsi="Times New Roman"/>
                <w:color w:val="auto"/>
                <w:sz w:val="24"/>
                <w:szCs w:val="24"/>
                <w:highlight w:val="none"/>
              </w:rPr>
              <w:t>（法向、带宽</w:t>
            </w:r>
            <w:r>
              <w:rPr>
                <w:rFonts w:ascii="Times New Roman" w:hAnsi="Times New Roman"/>
                <w:color w:val="auto"/>
                <w:sz w:val="24"/>
                <w:szCs w:val="24"/>
                <w:highlight w:val="none"/>
              </w:rPr>
              <w:t>1MHz</w:t>
            </w:r>
            <w:r>
              <w:rPr>
                <w:rFonts w:hint="eastAsia" w:ascii="Times New Roman" w:hAnsi="Times New Roman"/>
                <w:color w:val="auto"/>
                <w:sz w:val="24"/>
                <w:szCs w:val="24"/>
                <w:highlight w:val="none"/>
              </w:rPr>
              <w:t>）</w:t>
            </w:r>
          </w:p>
        </w:tc>
        <w:tc>
          <w:tcPr>
            <w:tcW w:w="2914" w:type="pct"/>
          </w:tcPr>
          <w:p w14:paraId="30F30F69">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6.5dB/K</w:t>
            </w:r>
          </w:p>
        </w:tc>
      </w:tr>
      <w:tr w14:paraId="567514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085" w:type="pct"/>
          </w:tcPr>
          <w:p w14:paraId="56B3B906">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G/T(±20°</w:t>
            </w:r>
            <w:r>
              <w:rPr>
                <w:rFonts w:hint="eastAsia" w:ascii="Times New Roman" w:hAnsi="Times New Roman"/>
                <w:color w:val="auto"/>
                <w:sz w:val="24"/>
                <w:szCs w:val="24"/>
                <w:highlight w:val="none"/>
              </w:rPr>
              <w:t>、带宽</w:t>
            </w:r>
            <w:r>
              <w:rPr>
                <w:rFonts w:ascii="Times New Roman" w:hAnsi="Times New Roman"/>
                <w:color w:val="auto"/>
                <w:sz w:val="24"/>
                <w:szCs w:val="24"/>
                <w:highlight w:val="none"/>
              </w:rPr>
              <w:t>1MHz)</w:t>
            </w:r>
          </w:p>
        </w:tc>
        <w:tc>
          <w:tcPr>
            <w:tcW w:w="2914" w:type="pct"/>
          </w:tcPr>
          <w:p w14:paraId="12AE2007">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5.5dB/K</w:t>
            </w:r>
          </w:p>
        </w:tc>
      </w:tr>
      <w:tr w14:paraId="4CC1EA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2085" w:type="pct"/>
          </w:tcPr>
          <w:p w14:paraId="455E5AC0">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校准后</w:t>
            </w:r>
            <w:r>
              <w:rPr>
                <w:rFonts w:ascii="Times New Roman" w:hAnsi="Times New Roman"/>
                <w:color w:val="auto"/>
                <w:sz w:val="24"/>
                <w:szCs w:val="24"/>
                <w:highlight w:val="none"/>
              </w:rPr>
              <w:t>G/T</w:t>
            </w:r>
            <w:r>
              <w:rPr>
                <w:rFonts w:hint="eastAsia" w:ascii="Times New Roman" w:hAnsi="Times New Roman"/>
                <w:color w:val="auto"/>
                <w:sz w:val="24"/>
                <w:szCs w:val="24"/>
                <w:highlight w:val="none"/>
              </w:rPr>
              <w:t>偏差</w:t>
            </w:r>
          </w:p>
        </w:tc>
        <w:tc>
          <w:tcPr>
            <w:tcW w:w="2914" w:type="pct"/>
          </w:tcPr>
          <w:p w14:paraId="7DA05EC4">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0.8dB</w:t>
            </w:r>
          </w:p>
        </w:tc>
      </w:tr>
      <w:tr w14:paraId="0591D8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2085" w:type="pct"/>
          </w:tcPr>
          <w:p w14:paraId="7FFAC58B">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噪声系数</w:t>
            </w:r>
          </w:p>
        </w:tc>
        <w:tc>
          <w:tcPr>
            <w:tcW w:w="2914" w:type="pct"/>
          </w:tcPr>
          <w:p w14:paraId="52FE8560">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3dB</w:t>
            </w:r>
            <w:r>
              <w:rPr>
                <w:rFonts w:hint="eastAsia" w:ascii="Times New Roman" w:hAnsi="Times New Roman"/>
                <w:color w:val="auto"/>
                <w:sz w:val="24"/>
                <w:szCs w:val="24"/>
                <w:highlight w:val="none"/>
              </w:rPr>
              <w:t>（脉宽</w:t>
            </w:r>
            <w:r>
              <w:rPr>
                <w:rFonts w:ascii="Times New Roman" w:hAnsi="Times New Roman"/>
                <w:color w:val="auto"/>
                <w:sz w:val="24"/>
                <w:szCs w:val="24"/>
                <w:highlight w:val="none"/>
              </w:rPr>
              <w:t>1μs</w:t>
            </w:r>
            <w:r>
              <w:rPr>
                <w:rFonts w:hint="eastAsia" w:ascii="Times New Roman" w:hAnsi="Times New Roman"/>
                <w:color w:val="auto"/>
                <w:sz w:val="24"/>
                <w:szCs w:val="24"/>
                <w:highlight w:val="none"/>
              </w:rPr>
              <w:t>，带宽</w:t>
            </w:r>
            <w:r>
              <w:rPr>
                <w:rFonts w:ascii="Times New Roman" w:hAnsi="Times New Roman"/>
                <w:color w:val="auto"/>
                <w:sz w:val="24"/>
                <w:szCs w:val="24"/>
                <w:highlight w:val="none"/>
              </w:rPr>
              <w:t>1MHz</w:t>
            </w:r>
            <w:r>
              <w:rPr>
                <w:rFonts w:hint="eastAsia" w:ascii="Times New Roman" w:hAnsi="Times New Roman"/>
                <w:color w:val="auto"/>
                <w:sz w:val="24"/>
                <w:szCs w:val="24"/>
                <w:highlight w:val="none"/>
              </w:rPr>
              <w:t>）</w:t>
            </w:r>
          </w:p>
        </w:tc>
      </w:tr>
      <w:tr w14:paraId="3EE383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085" w:type="pct"/>
          </w:tcPr>
          <w:p w14:paraId="427CFD25">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线性动态范围</w:t>
            </w:r>
          </w:p>
        </w:tc>
        <w:tc>
          <w:tcPr>
            <w:tcW w:w="2914" w:type="pct"/>
          </w:tcPr>
          <w:p w14:paraId="6867BB8B">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77dB</w:t>
            </w:r>
            <w:r>
              <w:rPr>
                <w:rFonts w:hint="eastAsia" w:ascii="Times New Roman" w:hAnsi="Times New Roman"/>
                <w:color w:val="auto"/>
                <w:sz w:val="24"/>
                <w:szCs w:val="24"/>
                <w:highlight w:val="none"/>
              </w:rPr>
              <w:t>（脉宽</w:t>
            </w:r>
            <w:r>
              <w:rPr>
                <w:rFonts w:ascii="Times New Roman" w:hAnsi="Times New Roman"/>
                <w:color w:val="auto"/>
                <w:sz w:val="24"/>
                <w:szCs w:val="24"/>
                <w:highlight w:val="none"/>
              </w:rPr>
              <w:t>1μs</w:t>
            </w:r>
            <w:r>
              <w:rPr>
                <w:rFonts w:hint="eastAsia" w:ascii="Times New Roman" w:hAnsi="Times New Roman"/>
                <w:color w:val="auto"/>
                <w:sz w:val="24"/>
                <w:szCs w:val="24"/>
                <w:highlight w:val="none"/>
              </w:rPr>
              <w:t>，带宽</w:t>
            </w:r>
            <w:r>
              <w:rPr>
                <w:rFonts w:ascii="Times New Roman" w:hAnsi="Times New Roman"/>
                <w:color w:val="auto"/>
                <w:sz w:val="24"/>
                <w:szCs w:val="24"/>
                <w:highlight w:val="none"/>
              </w:rPr>
              <w:t>1MHz</w:t>
            </w:r>
            <w:r>
              <w:rPr>
                <w:rFonts w:hint="eastAsia" w:ascii="Times New Roman" w:hAnsi="Times New Roman"/>
                <w:color w:val="auto"/>
                <w:sz w:val="24"/>
                <w:szCs w:val="24"/>
                <w:highlight w:val="none"/>
              </w:rPr>
              <w:t>）</w:t>
            </w:r>
          </w:p>
        </w:tc>
      </w:tr>
      <w:tr w14:paraId="681528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085" w:type="pct"/>
          </w:tcPr>
          <w:p w14:paraId="5CD167F7">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#最小可测功率（灵敏度）</w:t>
            </w:r>
          </w:p>
        </w:tc>
        <w:tc>
          <w:tcPr>
            <w:tcW w:w="2914" w:type="pct"/>
          </w:tcPr>
          <w:p w14:paraId="1ED488AA">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-110dBm</w:t>
            </w:r>
            <w:r>
              <w:rPr>
                <w:rFonts w:hint="eastAsia" w:ascii="Times New Roman" w:hAnsi="Times New Roman"/>
                <w:color w:val="auto"/>
                <w:sz w:val="24"/>
                <w:szCs w:val="24"/>
                <w:highlight w:val="none"/>
              </w:rPr>
              <w:t>（脉宽</w:t>
            </w:r>
            <w:r>
              <w:rPr>
                <w:rFonts w:ascii="Times New Roman" w:hAnsi="Times New Roman"/>
                <w:color w:val="auto"/>
                <w:sz w:val="24"/>
                <w:szCs w:val="24"/>
                <w:highlight w:val="none"/>
              </w:rPr>
              <w:t>1μs</w:t>
            </w:r>
            <w:r>
              <w:rPr>
                <w:rFonts w:hint="eastAsia" w:ascii="Times New Roman" w:hAnsi="Times New Roman"/>
                <w:color w:val="auto"/>
                <w:sz w:val="24"/>
                <w:szCs w:val="24"/>
                <w:highlight w:val="none"/>
              </w:rPr>
              <w:t>，带宽</w:t>
            </w:r>
            <w:r>
              <w:rPr>
                <w:rFonts w:ascii="Times New Roman" w:hAnsi="Times New Roman"/>
                <w:color w:val="auto"/>
                <w:sz w:val="24"/>
                <w:szCs w:val="24"/>
                <w:highlight w:val="none"/>
              </w:rPr>
              <w:t>1MHz</w:t>
            </w:r>
            <w:r>
              <w:rPr>
                <w:rFonts w:hint="eastAsia" w:ascii="Times New Roman" w:hAnsi="Times New Roman"/>
                <w:color w:val="auto"/>
                <w:sz w:val="24"/>
                <w:szCs w:val="24"/>
                <w:highlight w:val="none"/>
              </w:rPr>
              <w:t>）</w:t>
            </w:r>
          </w:p>
        </w:tc>
      </w:tr>
      <w:tr w14:paraId="13E217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2085" w:type="pct"/>
          </w:tcPr>
          <w:p w14:paraId="7F81C768">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镜频抑制度</w:t>
            </w:r>
          </w:p>
        </w:tc>
        <w:tc>
          <w:tcPr>
            <w:tcW w:w="2914" w:type="pct"/>
          </w:tcPr>
          <w:p w14:paraId="47AFD948">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60dBc</w:t>
            </w:r>
          </w:p>
        </w:tc>
      </w:tr>
    </w:tbl>
    <w:p w14:paraId="71459442">
      <w:pPr>
        <w:tabs>
          <w:tab w:val="left" w:pos="2340"/>
        </w:tabs>
        <w:spacing w:line="360" w:lineRule="auto"/>
        <w:ind w:firstLine="482"/>
        <w:rPr>
          <w:rFonts w:ascii="Times New Roman" w:hAnsi="Times New Roman"/>
          <w:b/>
          <w:color w:val="auto"/>
          <w:sz w:val="24"/>
          <w:szCs w:val="24"/>
          <w:highlight w:val="none"/>
        </w:rPr>
      </w:pPr>
      <w:bookmarkStart w:id="454" w:name="bookmark23"/>
      <w:bookmarkEnd w:id="454"/>
      <w:r>
        <w:rPr>
          <w:rFonts w:ascii="Times New Roman" w:hAnsi="Times New Roman"/>
          <w:b/>
          <w:color w:val="auto"/>
          <w:sz w:val="24"/>
          <w:szCs w:val="24"/>
          <w:highlight w:val="none"/>
        </w:rPr>
        <w:t>3.2.1.5</w:t>
      </w:r>
      <w:r>
        <w:rPr>
          <w:rFonts w:hint="eastAsia" w:ascii="Times New Roman" w:hAnsi="Times New Roman"/>
          <w:b/>
          <w:color w:val="auto"/>
          <w:sz w:val="24"/>
          <w:szCs w:val="24"/>
          <w:highlight w:val="none"/>
        </w:rPr>
        <w:t>数字波束控制与合成单元技术指标</w:t>
      </w:r>
    </w:p>
    <w:p w14:paraId="48EFB1C4">
      <w:pPr>
        <w:tabs>
          <w:tab w:val="left" w:pos="2340"/>
        </w:tabs>
        <w:spacing w:line="360" w:lineRule="auto"/>
        <w:ind w:firstLine="480"/>
        <w:rPr>
          <w:rFonts w:ascii="Times New Roman" w:hAnsi="Times New Roman"/>
          <w:bCs/>
          <w:color w:val="auto"/>
          <w:sz w:val="24"/>
          <w:szCs w:val="24"/>
          <w:highlight w:val="none"/>
        </w:rPr>
      </w:pPr>
      <w:r>
        <w:rPr>
          <w:rFonts w:hint="eastAsia" w:ascii="Times New Roman" w:hAnsi="Times New Roman"/>
          <w:bCs/>
          <w:color w:val="auto"/>
          <w:sz w:val="24"/>
          <w:szCs w:val="24"/>
          <w:highlight w:val="none"/>
        </w:rPr>
        <w:t>主要包括：波束控制和合成形式、波束控制精度、电扫方向最大副瓣电平等，具体指标见表</w:t>
      </w:r>
      <w:r>
        <w:rPr>
          <w:rFonts w:ascii="Times New Roman" w:hAnsi="Times New Roman"/>
          <w:bCs/>
          <w:color w:val="auto"/>
          <w:sz w:val="24"/>
          <w:szCs w:val="24"/>
          <w:highlight w:val="none"/>
        </w:rPr>
        <w:t>6</w:t>
      </w:r>
      <w:r>
        <w:rPr>
          <w:rFonts w:hint="eastAsia" w:ascii="Times New Roman" w:hAnsi="Times New Roman"/>
          <w:bCs/>
          <w:color w:val="auto"/>
          <w:sz w:val="24"/>
          <w:szCs w:val="24"/>
          <w:highlight w:val="none"/>
        </w:rPr>
        <w:t>。</w:t>
      </w:r>
    </w:p>
    <w:p w14:paraId="6EAFE4C7">
      <w:pPr>
        <w:widowControl/>
        <w:kinsoku w:val="0"/>
        <w:autoSpaceDE w:val="0"/>
        <w:autoSpaceDN w:val="0"/>
        <w:adjustRightInd w:val="0"/>
        <w:snapToGrid w:val="0"/>
        <w:spacing w:line="360" w:lineRule="auto"/>
        <w:ind w:firstLine="466"/>
        <w:jc w:val="center"/>
        <w:textAlignment w:val="baseline"/>
        <w:rPr>
          <w:rFonts w:ascii="Times New Roman" w:hAnsi="Times New Roman"/>
          <w:color w:val="auto"/>
          <w:sz w:val="24"/>
          <w:szCs w:val="24"/>
          <w:highlight w:val="none"/>
        </w:rPr>
      </w:pPr>
      <w:r>
        <w:rPr>
          <w:rFonts w:hint="eastAsia" w:ascii="Times New Roman" w:hAnsi="Times New Roman"/>
          <w:b/>
          <w:bCs/>
          <w:color w:val="auto"/>
          <w:spacing w:val="-4"/>
          <w:sz w:val="24"/>
          <w:szCs w:val="24"/>
          <w:highlight w:val="none"/>
        </w:rPr>
        <w:t>表</w:t>
      </w:r>
      <w:r>
        <w:rPr>
          <w:rFonts w:ascii="Times New Roman" w:hAnsi="Times New Roman"/>
          <w:b/>
          <w:bCs/>
          <w:color w:val="auto"/>
          <w:spacing w:val="-4"/>
          <w:sz w:val="24"/>
          <w:szCs w:val="24"/>
          <w:highlight w:val="none"/>
        </w:rPr>
        <w:t xml:space="preserve">6 </w:t>
      </w:r>
      <w:r>
        <w:rPr>
          <w:rFonts w:hint="eastAsia" w:ascii="Times New Roman" w:hAnsi="Times New Roman"/>
          <w:b/>
          <w:bCs/>
          <w:color w:val="auto"/>
          <w:spacing w:val="-4"/>
          <w:sz w:val="24"/>
          <w:szCs w:val="24"/>
          <w:highlight w:val="none"/>
        </w:rPr>
        <w:t>数字波束控制与合成单元技术性能指标表</w:t>
      </w:r>
    </w:p>
    <w:tbl>
      <w:tblPr>
        <w:tblStyle w:val="16"/>
        <w:tblW w:w="5002"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3404"/>
        <w:gridCol w:w="5005"/>
      </w:tblGrid>
      <w:tr w14:paraId="23077D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024" w:type="pct"/>
            <w:tcBorders>
              <w:bottom w:val="nil"/>
            </w:tcBorders>
          </w:tcPr>
          <w:p w14:paraId="3ABA27D2">
            <w:pPr>
              <w:pStyle w:val="17"/>
              <w:widowControl/>
              <w:kinsoku w:val="0"/>
              <w:autoSpaceDE w:val="0"/>
              <w:autoSpaceDN w:val="0"/>
              <w:adjustRightInd w:val="0"/>
              <w:snapToGrid w:val="0"/>
              <w:spacing w:line="360" w:lineRule="auto"/>
              <w:ind w:firstLine="0" w:firstLineChars="0"/>
              <w:jc w:val="center"/>
              <w:textAlignment w:val="baseline"/>
              <w:rPr>
                <w:rFonts w:ascii="Times New Roman" w:hAnsi="Times New Roman" w:cs="Times New Roman"/>
                <w:b/>
                <w:bCs/>
                <w:color w:val="auto"/>
                <w:spacing w:val="-9"/>
                <w:highlight w:val="none"/>
              </w:rPr>
            </w:pPr>
            <w:r>
              <w:rPr>
                <w:rFonts w:hint="eastAsia" w:ascii="Times New Roman" w:hAnsi="Times New Roman" w:cs="Times New Roman"/>
                <w:b/>
                <w:bCs/>
                <w:color w:val="auto"/>
                <w:spacing w:val="-9"/>
                <w:highlight w:val="none"/>
              </w:rPr>
              <w:t>项目</w:t>
            </w:r>
          </w:p>
        </w:tc>
        <w:tc>
          <w:tcPr>
            <w:tcW w:w="2976" w:type="pct"/>
          </w:tcPr>
          <w:p w14:paraId="219B5FA2">
            <w:pPr>
              <w:pStyle w:val="17"/>
              <w:widowControl/>
              <w:kinsoku w:val="0"/>
              <w:autoSpaceDE w:val="0"/>
              <w:autoSpaceDN w:val="0"/>
              <w:adjustRightInd w:val="0"/>
              <w:snapToGrid w:val="0"/>
              <w:spacing w:line="360" w:lineRule="auto"/>
              <w:ind w:firstLine="0" w:firstLineChars="0"/>
              <w:jc w:val="center"/>
              <w:textAlignment w:val="baseline"/>
              <w:rPr>
                <w:rFonts w:ascii="Times New Roman" w:hAnsi="Times New Roman" w:cs="Times New Roman"/>
                <w:b/>
                <w:bCs/>
                <w:color w:val="auto"/>
                <w:spacing w:val="-9"/>
                <w:highlight w:val="none"/>
              </w:rPr>
            </w:pPr>
            <w:r>
              <w:rPr>
                <w:rFonts w:hint="eastAsia" w:ascii="Times New Roman" w:hAnsi="Times New Roman" w:cs="Times New Roman"/>
                <w:b/>
                <w:bCs/>
                <w:color w:val="auto"/>
                <w:spacing w:val="-9"/>
                <w:highlight w:val="none"/>
              </w:rPr>
              <w:t>性能指标</w:t>
            </w:r>
          </w:p>
        </w:tc>
      </w:tr>
      <w:tr w14:paraId="5836A1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2024" w:type="pct"/>
          </w:tcPr>
          <w:p w14:paraId="202E5F2C">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波束控制和合成形式</w:t>
            </w:r>
          </w:p>
        </w:tc>
        <w:tc>
          <w:tcPr>
            <w:tcW w:w="2976" w:type="pct"/>
          </w:tcPr>
          <w:p w14:paraId="33A156DD">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数字域</w:t>
            </w:r>
          </w:p>
        </w:tc>
      </w:tr>
      <w:tr w14:paraId="474AEA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2024" w:type="pct"/>
          </w:tcPr>
          <w:p w14:paraId="2312F722">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波束控制精度（基于波束宽度）</w:t>
            </w:r>
          </w:p>
        </w:tc>
        <w:tc>
          <w:tcPr>
            <w:tcW w:w="2976" w:type="pct"/>
          </w:tcPr>
          <w:p w14:paraId="406C4963">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5%</w:t>
            </w:r>
          </w:p>
        </w:tc>
      </w:tr>
      <w:tr w14:paraId="16871B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2024" w:type="pct"/>
          </w:tcPr>
          <w:p w14:paraId="58E631B7">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#电扫方向上双线偏振波束指向误差（基于波束宽度）</w:t>
            </w:r>
          </w:p>
        </w:tc>
        <w:tc>
          <w:tcPr>
            <w:tcW w:w="2976" w:type="pct"/>
            <w:vAlign w:val="center"/>
          </w:tcPr>
          <w:p w14:paraId="13A86681">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5%</w:t>
            </w:r>
          </w:p>
        </w:tc>
      </w:tr>
      <w:tr w14:paraId="30935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0" w:hRule="atLeast"/>
        </w:trPr>
        <w:tc>
          <w:tcPr>
            <w:tcW w:w="2024" w:type="pct"/>
          </w:tcPr>
          <w:p w14:paraId="59B80CC3">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#电扫方向上双线偏振</w:t>
            </w:r>
            <w:r>
              <w:rPr>
                <w:rFonts w:ascii="Times New Roman" w:hAnsi="Times New Roman"/>
                <w:color w:val="auto"/>
                <w:sz w:val="24"/>
                <w:szCs w:val="24"/>
                <w:highlight w:val="none"/>
              </w:rPr>
              <w:t>3dB</w:t>
            </w:r>
            <w:r>
              <w:rPr>
                <w:rFonts w:hint="eastAsia" w:ascii="Times New Roman" w:hAnsi="Times New Roman"/>
                <w:color w:val="auto"/>
                <w:sz w:val="24"/>
                <w:szCs w:val="24"/>
                <w:highlight w:val="none"/>
              </w:rPr>
              <w:t>波束宽</w:t>
            </w:r>
          </w:p>
          <w:p w14:paraId="36F4FD23">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度误差（基于波束宽度）</w:t>
            </w:r>
          </w:p>
        </w:tc>
        <w:tc>
          <w:tcPr>
            <w:tcW w:w="2976" w:type="pct"/>
            <w:vAlign w:val="center"/>
          </w:tcPr>
          <w:p w14:paraId="4C776570">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5%</w:t>
            </w:r>
          </w:p>
        </w:tc>
      </w:tr>
      <w:tr w14:paraId="088299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2024" w:type="pct"/>
          </w:tcPr>
          <w:p w14:paraId="6F466396">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#同时接收波束数（单极化）</w:t>
            </w:r>
          </w:p>
        </w:tc>
        <w:tc>
          <w:tcPr>
            <w:tcW w:w="2976" w:type="pct"/>
          </w:tcPr>
          <w:p w14:paraId="66FDA56B">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16</w:t>
            </w:r>
            <w:r>
              <w:rPr>
                <w:rFonts w:hint="eastAsia" w:ascii="Times New Roman" w:hAnsi="Times New Roman"/>
                <w:color w:val="auto"/>
                <w:sz w:val="24"/>
                <w:szCs w:val="24"/>
                <w:highlight w:val="none"/>
              </w:rPr>
              <w:t>个波束</w:t>
            </w:r>
          </w:p>
        </w:tc>
      </w:tr>
      <w:tr w14:paraId="5FEA33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2" w:hRule="atLeast"/>
        </w:trPr>
        <w:tc>
          <w:tcPr>
            <w:tcW w:w="2024" w:type="pct"/>
            <w:vAlign w:val="center"/>
          </w:tcPr>
          <w:p w14:paraId="21138B46">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电扫方向发射最大副瓣电平</w:t>
            </w:r>
          </w:p>
        </w:tc>
        <w:tc>
          <w:tcPr>
            <w:tcW w:w="2976" w:type="pct"/>
          </w:tcPr>
          <w:p w14:paraId="686D32A5">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-23dB</w:t>
            </w:r>
            <w:r>
              <w:rPr>
                <w:rFonts w:hint="eastAsia" w:ascii="Times New Roman" w:hAnsi="Times New Roman"/>
                <w:color w:val="auto"/>
                <w:sz w:val="24"/>
                <w:szCs w:val="24"/>
                <w:highlight w:val="none"/>
              </w:rPr>
              <w:t>（法向波束宽度≤</w:t>
            </w:r>
            <w:r>
              <w:rPr>
                <w:rFonts w:ascii="Times New Roman" w:hAnsi="Times New Roman"/>
                <w:color w:val="auto"/>
                <w:sz w:val="24"/>
                <w:szCs w:val="24"/>
                <w:highlight w:val="none"/>
              </w:rPr>
              <w:t>1.8°</w:t>
            </w:r>
            <w:r>
              <w:rPr>
                <w:rFonts w:hint="eastAsia" w:ascii="Times New Roman" w:hAnsi="Times New Roman"/>
                <w:color w:val="auto"/>
                <w:sz w:val="24"/>
                <w:szCs w:val="24"/>
                <w:highlight w:val="none"/>
              </w:rPr>
              <w:t>，偏离法向±</w:t>
            </w:r>
            <w:r>
              <w:rPr>
                <w:rFonts w:ascii="Times New Roman" w:hAnsi="Times New Roman"/>
                <w:color w:val="auto"/>
                <w:sz w:val="24"/>
                <w:szCs w:val="24"/>
                <w:highlight w:val="none"/>
              </w:rPr>
              <w:t>20°</w:t>
            </w:r>
            <w:r>
              <w:rPr>
                <w:rFonts w:hint="eastAsia" w:ascii="Times New Roman" w:hAnsi="Times New Roman"/>
                <w:color w:val="auto"/>
                <w:sz w:val="24"/>
                <w:szCs w:val="24"/>
                <w:highlight w:val="none"/>
              </w:rPr>
              <w:t>波束宽度≤</w:t>
            </w:r>
            <w:r>
              <w:rPr>
                <w:rFonts w:ascii="Times New Roman" w:hAnsi="Times New Roman"/>
                <w:color w:val="auto"/>
                <w:sz w:val="24"/>
                <w:szCs w:val="24"/>
                <w:highlight w:val="none"/>
              </w:rPr>
              <w:t>1.91°</w:t>
            </w:r>
            <w:r>
              <w:rPr>
                <w:rFonts w:hint="eastAsia" w:ascii="Times New Roman" w:hAnsi="Times New Roman"/>
                <w:color w:val="auto"/>
                <w:sz w:val="24"/>
                <w:szCs w:val="24"/>
                <w:highlight w:val="none"/>
              </w:rPr>
              <w:t>）</w:t>
            </w:r>
          </w:p>
        </w:tc>
      </w:tr>
      <w:tr w14:paraId="63FFC7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3" w:hRule="atLeast"/>
        </w:trPr>
        <w:tc>
          <w:tcPr>
            <w:tcW w:w="2024" w:type="pct"/>
            <w:vAlign w:val="center"/>
          </w:tcPr>
          <w:p w14:paraId="172DE46F">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电扫方向接收最大副瓣电平</w:t>
            </w:r>
          </w:p>
        </w:tc>
        <w:tc>
          <w:tcPr>
            <w:tcW w:w="2976" w:type="pct"/>
          </w:tcPr>
          <w:p w14:paraId="25E34768">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-35dB</w:t>
            </w:r>
            <w:r>
              <w:rPr>
                <w:rFonts w:hint="eastAsia" w:ascii="Times New Roman" w:hAnsi="Times New Roman"/>
                <w:color w:val="auto"/>
                <w:sz w:val="24"/>
                <w:szCs w:val="24"/>
                <w:highlight w:val="none"/>
              </w:rPr>
              <w:t>（法向波束宽度≤</w:t>
            </w:r>
            <w:r>
              <w:rPr>
                <w:rFonts w:ascii="Times New Roman" w:hAnsi="Times New Roman"/>
                <w:color w:val="auto"/>
                <w:sz w:val="24"/>
                <w:szCs w:val="24"/>
                <w:highlight w:val="none"/>
              </w:rPr>
              <w:t>1.8°</w:t>
            </w:r>
            <w:r>
              <w:rPr>
                <w:rFonts w:hint="eastAsia" w:ascii="Times New Roman" w:hAnsi="Times New Roman"/>
                <w:color w:val="auto"/>
                <w:sz w:val="24"/>
                <w:szCs w:val="24"/>
                <w:highlight w:val="none"/>
              </w:rPr>
              <w:t>，偏离法向±</w:t>
            </w:r>
            <w:r>
              <w:rPr>
                <w:rFonts w:ascii="Times New Roman" w:hAnsi="Times New Roman"/>
                <w:color w:val="auto"/>
                <w:sz w:val="24"/>
                <w:szCs w:val="24"/>
                <w:highlight w:val="none"/>
              </w:rPr>
              <w:t>20°</w:t>
            </w:r>
            <w:r>
              <w:rPr>
                <w:rFonts w:hint="eastAsia" w:ascii="Times New Roman" w:hAnsi="Times New Roman"/>
                <w:color w:val="auto"/>
                <w:sz w:val="24"/>
                <w:szCs w:val="24"/>
                <w:highlight w:val="none"/>
              </w:rPr>
              <w:t>波束宽度≤</w:t>
            </w:r>
            <w:r>
              <w:rPr>
                <w:rFonts w:ascii="Times New Roman" w:hAnsi="Times New Roman"/>
                <w:color w:val="auto"/>
                <w:sz w:val="24"/>
                <w:szCs w:val="24"/>
                <w:highlight w:val="none"/>
              </w:rPr>
              <w:t>1.91°</w:t>
            </w:r>
            <w:r>
              <w:rPr>
                <w:rFonts w:hint="eastAsia" w:ascii="Times New Roman" w:hAnsi="Times New Roman"/>
                <w:color w:val="auto"/>
                <w:sz w:val="24"/>
                <w:szCs w:val="24"/>
                <w:highlight w:val="none"/>
              </w:rPr>
              <w:t>）</w:t>
            </w:r>
          </w:p>
        </w:tc>
      </w:tr>
    </w:tbl>
    <w:p w14:paraId="2AC48476">
      <w:pPr>
        <w:tabs>
          <w:tab w:val="left" w:pos="2340"/>
        </w:tabs>
        <w:spacing w:line="360" w:lineRule="auto"/>
        <w:ind w:firstLine="482"/>
        <w:rPr>
          <w:rFonts w:ascii="Times New Roman" w:hAnsi="Times New Roman"/>
          <w:b/>
          <w:color w:val="auto"/>
          <w:sz w:val="24"/>
          <w:szCs w:val="24"/>
          <w:highlight w:val="none"/>
        </w:rPr>
      </w:pPr>
      <w:bookmarkStart w:id="455" w:name="bookmark24"/>
      <w:bookmarkEnd w:id="455"/>
      <w:r>
        <w:rPr>
          <w:rFonts w:ascii="Times New Roman" w:hAnsi="Times New Roman"/>
          <w:b/>
          <w:color w:val="auto"/>
          <w:sz w:val="24"/>
          <w:szCs w:val="24"/>
          <w:highlight w:val="none"/>
        </w:rPr>
        <w:t>3.2.1.6</w:t>
      </w:r>
      <w:r>
        <w:rPr>
          <w:rFonts w:hint="eastAsia" w:ascii="Times New Roman" w:hAnsi="Times New Roman"/>
          <w:b/>
          <w:color w:val="auto"/>
          <w:sz w:val="24"/>
          <w:szCs w:val="24"/>
          <w:highlight w:val="none"/>
        </w:rPr>
        <w:t>信号处理单元技术指标</w:t>
      </w:r>
    </w:p>
    <w:p w14:paraId="4060B831">
      <w:pPr>
        <w:tabs>
          <w:tab w:val="left" w:pos="2340"/>
        </w:tabs>
        <w:spacing w:line="360" w:lineRule="auto"/>
        <w:ind w:firstLine="480"/>
        <w:rPr>
          <w:rFonts w:ascii="Times New Roman" w:hAnsi="Times New Roman"/>
          <w:bCs/>
          <w:color w:val="auto"/>
          <w:sz w:val="24"/>
          <w:szCs w:val="24"/>
          <w:highlight w:val="none"/>
        </w:rPr>
      </w:pPr>
      <w:r>
        <w:rPr>
          <w:rFonts w:hint="eastAsia" w:ascii="Times New Roman" w:hAnsi="Times New Roman"/>
          <w:bCs/>
          <w:color w:val="auto"/>
          <w:sz w:val="24"/>
          <w:szCs w:val="24"/>
          <w:highlight w:val="none"/>
        </w:rPr>
        <w:t>主要包括：脉冲压缩主副瓣比、脉冲累计平均次数、处理方式等指标，具体指标见表</w:t>
      </w:r>
      <w:r>
        <w:rPr>
          <w:rFonts w:ascii="Times New Roman" w:hAnsi="Times New Roman"/>
          <w:bCs/>
          <w:color w:val="auto"/>
          <w:sz w:val="24"/>
          <w:szCs w:val="24"/>
          <w:highlight w:val="none"/>
        </w:rPr>
        <w:t>7</w:t>
      </w:r>
      <w:r>
        <w:rPr>
          <w:rFonts w:hint="eastAsia" w:ascii="Times New Roman" w:hAnsi="Times New Roman"/>
          <w:bCs/>
          <w:color w:val="auto"/>
          <w:sz w:val="24"/>
          <w:szCs w:val="24"/>
          <w:highlight w:val="none"/>
        </w:rPr>
        <w:t>。</w:t>
      </w:r>
    </w:p>
    <w:p w14:paraId="6FD75BE6">
      <w:pPr>
        <w:widowControl/>
        <w:kinsoku w:val="0"/>
        <w:autoSpaceDE w:val="0"/>
        <w:autoSpaceDN w:val="0"/>
        <w:adjustRightInd w:val="0"/>
        <w:snapToGrid w:val="0"/>
        <w:spacing w:line="360" w:lineRule="auto"/>
        <w:jc w:val="center"/>
        <w:textAlignment w:val="baseline"/>
        <w:rPr>
          <w:rFonts w:ascii="Times New Roman" w:hAnsi="Times New Roman"/>
          <w:b/>
          <w:bCs/>
          <w:color w:val="auto"/>
          <w:sz w:val="24"/>
          <w:szCs w:val="24"/>
          <w:highlight w:val="none"/>
        </w:rPr>
      </w:pPr>
      <w:r>
        <w:rPr>
          <w:rFonts w:hint="eastAsia" w:ascii="Times New Roman" w:hAnsi="Times New Roman"/>
          <w:b/>
          <w:bCs/>
          <w:color w:val="auto"/>
          <w:spacing w:val="-4"/>
          <w:sz w:val="24"/>
          <w:szCs w:val="24"/>
          <w:highlight w:val="none"/>
        </w:rPr>
        <w:t>表</w:t>
      </w:r>
      <w:r>
        <w:rPr>
          <w:rFonts w:ascii="Times New Roman" w:hAnsi="Times New Roman"/>
          <w:b/>
          <w:bCs/>
          <w:color w:val="auto"/>
          <w:spacing w:val="-4"/>
          <w:sz w:val="24"/>
          <w:szCs w:val="24"/>
          <w:highlight w:val="none"/>
        </w:rPr>
        <w:t xml:space="preserve">7 </w:t>
      </w:r>
      <w:r>
        <w:rPr>
          <w:rFonts w:hint="eastAsia" w:ascii="Times New Roman" w:hAnsi="Times New Roman"/>
          <w:b/>
          <w:bCs/>
          <w:color w:val="auto"/>
          <w:spacing w:val="-4"/>
          <w:sz w:val="24"/>
          <w:szCs w:val="24"/>
          <w:highlight w:val="none"/>
        </w:rPr>
        <w:t>信号处理单元技术性能指标表</w:t>
      </w:r>
    </w:p>
    <w:tbl>
      <w:tblPr>
        <w:tblStyle w:val="16"/>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674"/>
        <w:gridCol w:w="5730"/>
      </w:tblGrid>
      <w:tr w14:paraId="7AA22F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591" w:type="pct"/>
            <w:tcBorders>
              <w:bottom w:val="nil"/>
            </w:tcBorders>
            <w:vAlign w:val="center"/>
          </w:tcPr>
          <w:p w14:paraId="1AC847C9">
            <w:pPr>
              <w:pStyle w:val="17"/>
              <w:widowControl/>
              <w:kinsoku w:val="0"/>
              <w:autoSpaceDE w:val="0"/>
              <w:autoSpaceDN w:val="0"/>
              <w:adjustRightInd w:val="0"/>
              <w:snapToGrid w:val="0"/>
              <w:spacing w:line="360" w:lineRule="auto"/>
              <w:ind w:firstLine="0" w:firstLineChars="0"/>
              <w:jc w:val="center"/>
              <w:textAlignment w:val="baseline"/>
              <w:rPr>
                <w:rFonts w:ascii="Times New Roman" w:hAnsi="Times New Roman" w:cs="Times New Roman"/>
                <w:b/>
                <w:bCs/>
                <w:color w:val="auto"/>
                <w:spacing w:val="-9"/>
                <w:highlight w:val="none"/>
              </w:rPr>
            </w:pPr>
            <w:r>
              <w:rPr>
                <w:rFonts w:hint="eastAsia" w:ascii="Times New Roman" w:hAnsi="Times New Roman" w:cs="Times New Roman"/>
                <w:b/>
                <w:bCs/>
                <w:color w:val="auto"/>
                <w:spacing w:val="-9"/>
                <w:highlight w:val="none"/>
              </w:rPr>
              <w:t>项目</w:t>
            </w:r>
          </w:p>
        </w:tc>
        <w:tc>
          <w:tcPr>
            <w:tcW w:w="3408" w:type="pct"/>
            <w:vAlign w:val="center"/>
          </w:tcPr>
          <w:p w14:paraId="1196270F">
            <w:pPr>
              <w:pStyle w:val="17"/>
              <w:widowControl/>
              <w:kinsoku w:val="0"/>
              <w:autoSpaceDE w:val="0"/>
              <w:autoSpaceDN w:val="0"/>
              <w:adjustRightInd w:val="0"/>
              <w:snapToGrid w:val="0"/>
              <w:spacing w:line="360" w:lineRule="auto"/>
              <w:ind w:firstLine="0" w:firstLineChars="0"/>
              <w:jc w:val="center"/>
              <w:textAlignment w:val="baseline"/>
              <w:rPr>
                <w:rFonts w:ascii="Times New Roman" w:hAnsi="Times New Roman" w:cs="Times New Roman"/>
                <w:b/>
                <w:bCs/>
                <w:color w:val="auto"/>
                <w:spacing w:val="-9"/>
                <w:highlight w:val="none"/>
              </w:rPr>
            </w:pPr>
            <w:r>
              <w:rPr>
                <w:rFonts w:hint="eastAsia" w:ascii="Times New Roman" w:hAnsi="Times New Roman" w:cs="Times New Roman"/>
                <w:b/>
                <w:bCs/>
                <w:color w:val="auto"/>
                <w:spacing w:val="-9"/>
                <w:highlight w:val="none"/>
              </w:rPr>
              <w:t>性能指标</w:t>
            </w:r>
          </w:p>
        </w:tc>
      </w:tr>
      <w:tr w14:paraId="630766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591" w:type="pct"/>
          </w:tcPr>
          <w:p w14:paraId="38C4026D">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最大脉冲压缩比</w:t>
            </w:r>
          </w:p>
        </w:tc>
        <w:tc>
          <w:tcPr>
            <w:tcW w:w="3408" w:type="pct"/>
          </w:tcPr>
          <w:p w14:paraId="54533805">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100</w:t>
            </w:r>
          </w:p>
        </w:tc>
      </w:tr>
      <w:tr w14:paraId="33D5B9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591" w:type="pct"/>
          </w:tcPr>
          <w:p w14:paraId="277F3179">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脉冲压缩主副瓣比</w:t>
            </w:r>
          </w:p>
        </w:tc>
        <w:tc>
          <w:tcPr>
            <w:tcW w:w="3408" w:type="pct"/>
          </w:tcPr>
          <w:p w14:paraId="771B06D7">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50dB</w:t>
            </w:r>
            <w:r>
              <w:rPr>
                <w:rFonts w:hint="eastAsia" w:ascii="Times New Roman" w:hAnsi="Times New Roman"/>
                <w:color w:val="auto"/>
                <w:sz w:val="24"/>
                <w:szCs w:val="24"/>
                <w:highlight w:val="none"/>
              </w:rPr>
              <w:t>（脉压比≥</w:t>
            </w:r>
            <w:r>
              <w:rPr>
                <w:rFonts w:ascii="Times New Roman" w:hAnsi="Times New Roman"/>
                <w:color w:val="auto"/>
                <w:sz w:val="24"/>
                <w:szCs w:val="24"/>
                <w:highlight w:val="none"/>
              </w:rPr>
              <w:t>100</w:t>
            </w:r>
            <w:r>
              <w:rPr>
                <w:rFonts w:hint="eastAsia" w:ascii="Times New Roman" w:hAnsi="Times New Roman"/>
                <w:color w:val="auto"/>
                <w:sz w:val="24"/>
                <w:szCs w:val="24"/>
                <w:highlight w:val="none"/>
              </w:rPr>
              <w:t>）</w:t>
            </w:r>
          </w:p>
        </w:tc>
      </w:tr>
      <w:tr w14:paraId="14E408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591" w:type="pct"/>
          </w:tcPr>
          <w:p w14:paraId="45205AA0">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脉冲累计平均次数</w:t>
            </w:r>
          </w:p>
        </w:tc>
        <w:tc>
          <w:tcPr>
            <w:tcW w:w="3408" w:type="pct"/>
          </w:tcPr>
          <w:p w14:paraId="59F8C142">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16</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512</w:t>
            </w:r>
            <w:r>
              <w:rPr>
                <w:rFonts w:hint="eastAsia" w:ascii="Times New Roman" w:hAnsi="Times New Roman"/>
                <w:color w:val="auto"/>
                <w:sz w:val="24"/>
                <w:szCs w:val="24"/>
                <w:highlight w:val="none"/>
              </w:rPr>
              <w:t>可选</w:t>
            </w:r>
          </w:p>
        </w:tc>
      </w:tr>
      <w:tr w14:paraId="25170B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591" w:type="pct"/>
          </w:tcPr>
          <w:p w14:paraId="4EF64B60">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强度、速度处理方式</w:t>
            </w:r>
          </w:p>
        </w:tc>
        <w:tc>
          <w:tcPr>
            <w:tcW w:w="3408" w:type="pct"/>
          </w:tcPr>
          <w:p w14:paraId="3BA503C2">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FFT/PPP</w:t>
            </w:r>
            <w:r>
              <w:rPr>
                <w:rFonts w:hint="eastAsia" w:ascii="Times New Roman" w:hAnsi="Times New Roman"/>
                <w:color w:val="auto"/>
                <w:sz w:val="24"/>
                <w:szCs w:val="24"/>
                <w:highlight w:val="none"/>
              </w:rPr>
              <w:t>处理</w:t>
            </w:r>
          </w:p>
        </w:tc>
      </w:tr>
      <w:tr w14:paraId="296026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591" w:type="pct"/>
          </w:tcPr>
          <w:p w14:paraId="73976179">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相关系数处理方式</w:t>
            </w:r>
          </w:p>
        </w:tc>
        <w:tc>
          <w:tcPr>
            <w:tcW w:w="3408" w:type="pct"/>
          </w:tcPr>
          <w:p w14:paraId="76044BAD">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一阶相关或多阶相关</w:t>
            </w:r>
          </w:p>
        </w:tc>
      </w:tr>
      <w:tr w14:paraId="0261CD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591" w:type="pct"/>
          </w:tcPr>
          <w:p w14:paraId="517130D8">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距离退模糊方法</w:t>
            </w:r>
          </w:p>
        </w:tc>
        <w:tc>
          <w:tcPr>
            <w:tcW w:w="3408" w:type="pct"/>
          </w:tcPr>
          <w:p w14:paraId="078385CB">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相位编码或其他等效方法</w:t>
            </w:r>
          </w:p>
        </w:tc>
      </w:tr>
      <w:tr w14:paraId="131646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591" w:type="pct"/>
          </w:tcPr>
          <w:p w14:paraId="0F20D4A6">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速度退模糊方法</w:t>
            </w:r>
          </w:p>
        </w:tc>
        <w:tc>
          <w:tcPr>
            <w:tcW w:w="3408" w:type="pct"/>
          </w:tcPr>
          <w:p w14:paraId="574C4F4C">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双重频或其他等效方法</w:t>
            </w:r>
          </w:p>
        </w:tc>
      </w:tr>
      <w:tr w14:paraId="34F4FE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591" w:type="pct"/>
          </w:tcPr>
          <w:p w14:paraId="0FFC6FF0">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非气象回波识别和抑制</w:t>
            </w:r>
          </w:p>
        </w:tc>
        <w:tc>
          <w:tcPr>
            <w:tcW w:w="3408" w:type="pct"/>
          </w:tcPr>
          <w:p w14:paraId="47D159F2">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具有电磁干扰、风电干扰及其它干扰的自动处理能力</w:t>
            </w:r>
          </w:p>
        </w:tc>
      </w:tr>
      <w:tr w14:paraId="2B54EC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591" w:type="pct"/>
          </w:tcPr>
          <w:p w14:paraId="149997D1">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参数估计</w:t>
            </w:r>
          </w:p>
        </w:tc>
        <w:tc>
          <w:tcPr>
            <w:tcW w:w="3408" w:type="pct"/>
          </w:tcPr>
          <w:p w14:paraId="4F00E3C6">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合理方法处理多脉宽条件下参数估算</w:t>
            </w:r>
          </w:p>
        </w:tc>
      </w:tr>
      <w:tr w14:paraId="407BB1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591" w:type="pct"/>
          </w:tcPr>
          <w:p w14:paraId="7F10B896">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地物抑制</w:t>
            </w:r>
          </w:p>
        </w:tc>
        <w:tc>
          <w:tcPr>
            <w:tcW w:w="3408" w:type="pct"/>
          </w:tcPr>
          <w:p w14:paraId="4802CF8E">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深度学习或其他等效方法</w:t>
            </w:r>
          </w:p>
        </w:tc>
      </w:tr>
      <w:tr w14:paraId="720487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591" w:type="pct"/>
          </w:tcPr>
          <w:p w14:paraId="0B529F05">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故障检测和保护</w:t>
            </w:r>
          </w:p>
        </w:tc>
        <w:tc>
          <w:tcPr>
            <w:tcW w:w="3408" w:type="pct"/>
          </w:tcPr>
          <w:p w14:paraId="4DEBB42F">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数据丢包，参数输出等故障</w:t>
            </w:r>
          </w:p>
        </w:tc>
      </w:tr>
    </w:tbl>
    <w:p w14:paraId="050C1DBC">
      <w:pPr>
        <w:tabs>
          <w:tab w:val="left" w:pos="2340"/>
        </w:tabs>
        <w:spacing w:line="360" w:lineRule="auto"/>
        <w:ind w:firstLine="482"/>
        <w:rPr>
          <w:rFonts w:ascii="Times New Roman" w:hAnsi="Times New Roman"/>
          <w:b/>
          <w:color w:val="auto"/>
          <w:sz w:val="24"/>
          <w:szCs w:val="24"/>
          <w:highlight w:val="none"/>
        </w:rPr>
      </w:pPr>
      <w:bookmarkStart w:id="456" w:name="bookmark25"/>
      <w:bookmarkEnd w:id="456"/>
      <w:r>
        <w:rPr>
          <w:rFonts w:ascii="Times New Roman" w:hAnsi="Times New Roman"/>
          <w:b/>
          <w:color w:val="auto"/>
          <w:sz w:val="24"/>
          <w:szCs w:val="24"/>
          <w:highlight w:val="none"/>
        </w:rPr>
        <w:t>3.2.1.7</w:t>
      </w:r>
      <w:r>
        <w:rPr>
          <w:rFonts w:hint="eastAsia" w:ascii="Times New Roman" w:hAnsi="Times New Roman"/>
          <w:color w:val="auto"/>
          <w:sz w:val="24"/>
          <w:szCs w:val="24"/>
          <w:highlight w:val="none"/>
        </w:rPr>
        <w:t>#</w:t>
      </w:r>
      <w:r>
        <w:rPr>
          <w:rFonts w:hint="eastAsia" w:ascii="Times New Roman" w:hAnsi="Times New Roman"/>
          <w:b/>
          <w:color w:val="auto"/>
          <w:sz w:val="24"/>
          <w:szCs w:val="24"/>
          <w:highlight w:val="none"/>
        </w:rPr>
        <w:t>监控技术指标</w:t>
      </w:r>
    </w:p>
    <w:p w14:paraId="332BE69D">
      <w:pPr>
        <w:tabs>
          <w:tab w:val="left" w:pos="2340"/>
        </w:tabs>
        <w:spacing w:line="360" w:lineRule="auto"/>
        <w:ind w:firstLine="480"/>
        <w:rPr>
          <w:rFonts w:ascii="Times New Roman" w:hAnsi="Times New Roman"/>
          <w:bCs/>
          <w:color w:val="auto"/>
          <w:sz w:val="24"/>
          <w:szCs w:val="24"/>
          <w:highlight w:val="none"/>
        </w:rPr>
      </w:pPr>
      <w:r>
        <w:rPr>
          <w:rFonts w:hint="eastAsia" w:ascii="Times New Roman" w:hAnsi="Times New Roman"/>
          <w:bCs/>
          <w:color w:val="auto"/>
          <w:sz w:val="24"/>
          <w:szCs w:val="24"/>
          <w:highlight w:val="none"/>
        </w:rPr>
        <w:t>在线监测参数详见表</w:t>
      </w:r>
      <w:r>
        <w:rPr>
          <w:rFonts w:ascii="Times New Roman" w:hAnsi="Times New Roman"/>
          <w:bCs/>
          <w:color w:val="auto"/>
          <w:sz w:val="24"/>
          <w:szCs w:val="24"/>
          <w:highlight w:val="none"/>
        </w:rPr>
        <w:t>8</w:t>
      </w:r>
      <w:r>
        <w:rPr>
          <w:rFonts w:hint="eastAsia" w:ascii="Times New Roman" w:hAnsi="Times New Roman"/>
          <w:bCs/>
          <w:color w:val="auto"/>
          <w:sz w:val="24"/>
          <w:szCs w:val="24"/>
          <w:highlight w:val="none"/>
        </w:rPr>
        <w:t>。</w:t>
      </w:r>
    </w:p>
    <w:p w14:paraId="49D49866">
      <w:pPr>
        <w:tabs>
          <w:tab w:val="left" w:pos="2340"/>
        </w:tabs>
        <w:spacing w:line="360" w:lineRule="auto"/>
        <w:ind w:firstLine="480"/>
        <w:rPr>
          <w:rFonts w:ascii="Times New Roman" w:hAnsi="Times New Roman"/>
          <w:bCs/>
          <w:color w:val="auto"/>
          <w:sz w:val="24"/>
          <w:szCs w:val="24"/>
          <w:highlight w:val="none"/>
        </w:rPr>
      </w:pPr>
      <w:r>
        <w:rPr>
          <w:rFonts w:hint="eastAsia" w:ascii="Times New Roman" w:hAnsi="Times New Roman"/>
          <w:bCs/>
          <w:color w:val="auto"/>
          <w:sz w:val="24"/>
          <w:szCs w:val="24"/>
          <w:highlight w:val="none"/>
        </w:rPr>
        <w:t>上传周期可任意设置，具备每次扫描完上传参数的功能。</w:t>
      </w:r>
    </w:p>
    <w:p w14:paraId="21B83BBB">
      <w:pPr>
        <w:widowControl/>
        <w:kinsoku w:val="0"/>
        <w:autoSpaceDE w:val="0"/>
        <w:autoSpaceDN w:val="0"/>
        <w:adjustRightInd w:val="0"/>
        <w:snapToGrid w:val="0"/>
        <w:spacing w:line="360" w:lineRule="auto"/>
        <w:ind w:firstLine="470"/>
        <w:jc w:val="center"/>
        <w:textAlignment w:val="baseline"/>
        <w:rPr>
          <w:rFonts w:ascii="Times New Roman" w:hAnsi="Times New Roman"/>
          <w:b/>
          <w:bCs/>
          <w:color w:val="auto"/>
          <w:sz w:val="24"/>
          <w:szCs w:val="24"/>
          <w:highlight w:val="none"/>
        </w:rPr>
      </w:pPr>
      <w:r>
        <w:rPr>
          <w:rFonts w:hint="eastAsia" w:ascii="Times New Roman" w:hAnsi="Times New Roman"/>
          <w:b/>
          <w:bCs/>
          <w:color w:val="auto"/>
          <w:spacing w:val="-3"/>
          <w:sz w:val="24"/>
          <w:szCs w:val="24"/>
          <w:highlight w:val="none"/>
        </w:rPr>
        <w:t>表</w:t>
      </w:r>
      <w:r>
        <w:rPr>
          <w:rFonts w:ascii="Times New Roman" w:hAnsi="Times New Roman"/>
          <w:b/>
          <w:bCs/>
          <w:color w:val="auto"/>
          <w:spacing w:val="-3"/>
          <w:sz w:val="24"/>
          <w:szCs w:val="24"/>
          <w:highlight w:val="none"/>
        </w:rPr>
        <w:t xml:space="preserve">8 </w:t>
      </w:r>
      <w:r>
        <w:rPr>
          <w:rFonts w:hint="eastAsia" w:ascii="Times New Roman" w:hAnsi="Times New Roman"/>
          <w:b/>
          <w:bCs/>
          <w:color w:val="auto"/>
          <w:spacing w:val="-3"/>
          <w:sz w:val="24"/>
          <w:szCs w:val="24"/>
          <w:highlight w:val="none"/>
        </w:rPr>
        <w:t>上传参数列表</w:t>
      </w:r>
    </w:p>
    <w:tbl>
      <w:tblPr>
        <w:tblStyle w:val="16"/>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81"/>
        <w:gridCol w:w="3818"/>
        <w:gridCol w:w="3704"/>
      </w:tblGrid>
      <w:tr w14:paraId="55AE28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524" w:type="pct"/>
            <w:vAlign w:val="center"/>
          </w:tcPr>
          <w:p w14:paraId="4832D6B3">
            <w:pPr>
              <w:widowControl/>
              <w:kinsoku w:val="0"/>
              <w:autoSpaceDE w:val="0"/>
              <w:autoSpaceDN w:val="0"/>
              <w:adjustRightInd w:val="0"/>
              <w:snapToGrid w:val="0"/>
              <w:spacing w:line="360" w:lineRule="auto"/>
              <w:ind w:left="105" w:leftChars="50"/>
              <w:jc w:val="center"/>
              <w:textAlignment w:val="baseline"/>
              <w:rPr>
                <w:rFonts w:ascii="Times New Roman" w:hAnsi="Times New Roman"/>
                <w:b/>
                <w:bCs/>
                <w:color w:val="auto"/>
                <w:sz w:val="24"/>
                <w:szCs w:val="24"/>
                <w:highlight w:val="none"/>
              </w:rPr>
            </w:pPr>
            <w:r>
              <w:rPr>
                <w:rFonts w:hint="eastAsia" w:ascii="Times New Roman" w:hAnsi="Times New Roman"/>
                <w:b/>
                <w:bCs/>
                <w:color w:val="auto"/>
                <w:sz w:val="24"/>
                <w:szCs w:val="24"/>
                <w:highlight w:val="none"/>
              </w:rPr>
              <w:t>序号</w:t>
            </w:r>
          </w:p>
        </w:tc>
        <w:tc>
          <w:tcPr>
            <w:tcW w:w="2272" w:type="pct"/>
            <w:vAlign w:val="center"/>
          </w:tcPr>
          <w:p w14:paraId="3EEAD689">
            <w:pPr>
              <w:widowControl/>
              <w:kinsoku w:val="0"/>
              <w:autoSpaceDE w:val="0"/>
              <w:autoSpaceDN w:val="0"/>
              <w:adjustRightInd w:val="0"/>
              <w:snapToGrid w:val="0"/>
              <w:spacing w:line="360" w:lineRule="auto"/>
              <w:ind w:left="105" w:leftChars="50"/>
              <w:jc w:val="center"/>
              <w:textAlignment w:val="baseline"/>
              <w:rPr>
                <w:rFonts w:ascii="Times New Roman" w:hAnsi="Times New Roman"/>
                <w:b/>
                <w:bCs/>
                <w:color w:val="auto"/>
                <w:sz w:val="24"/>
                <w:szCs w:val="24"/>
                <w:highlight w:val="none"/>
              </w:rPr>
            </w:pPr>
            <w:r>
              <w:rPr>
                <w:rFonts w:hint="eastAsia" w:ascii="Times New Roman" w:hAnsi="Times New Roman"/>
                <w:b/>
                <w:bCs/>
                <w:color w:val="auto"/>
                <w:sz w:val="24"/>
                <w:szCs w:val="24"/>
                <w:highlight w:val="none"/>
              </w:rPr>
              <w:t>上传参数</w:t>
            </w:r>
          </w:p>
        </w:tc>
        <w:tc>
          <w:tcPr>
            <w:tcW w:w="2202" w:type="pct"/>
            <w:vAlign w:val="center"/>
          </w:tcPr>
          <w:p w14:paraId="51C523BC">
            <w:pPr>
              <w:widowControl/>
              <w:kinsoku w:val="0"/>
              <w:autoSpaceDE w:val="0"/>
              <w:autoSpaceDN w:val="0"/>
              <w:adjustRightInd w:val="0"/>
              <w:snapToGrid w:val="0"/>
              <w:spacing w:line="360" w:lineRule="auto"/>
              <w:ind w:left="105" w:leftChars="50"/>
              <w:jc w:val="center"/>
              <w:textAlignment w:val="baseline"/>
              <w:rPr>
                <w:rFonts w:ascii="Times New Roman" w:hAnsi="Times New Roman"/>
                <w:b/>
                <w:bCs/>
                <w:color w:val="auto"/>
                <w:sz w:val="24"/>
                <w:szCs w:val="24"/>
                <w:highlight w:val="none"/>
              </w:rPr>
            </w:pPr>
            <w:r>
              <w:rPr>
                <w:rFonts w:hint="eastAsia" w:ascii="Times New Roman" w:hAnsi="Times New Roman"/>
                <w:b/>
                <w:bCs/>
                <w:color w:val="auto"/>
                <w:sz w:val="24"/>
                <w:szCs w:val="24"/>
                <w:highlight w:val="none"/>
              </w:rPr>
              <w:t>备注</w:t>
            </w:r>
          </w:p>
        </w:tc>
      </w:tr>
      <w:tr w14:paraId="0BA549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5000" w:type="pct"/>
            <w:gridSpan w:val="3"/>
            <w:vAlign w:val="center"/>
          </w:tcPr>
          <w:p w14:paraId="3C7C7F16">
            <w:pPr>
              <w:widowControl/>
              <w:kinsoku w:val="0"/>
              <w:autoSpaceDE w:val="0"/>
              <w:autoSpaceDN w:val="0"/>
              <w:adjustRightInd w:val="0"/>
              <w:snapToGrid w:val="0"/>
              <w:spacing w:line="360" w:lineRule="auto"/>
              <w:ind w:left="105" w:leftChars="50"/>
              <w:jc w:val="center"/>
              <w:textAlignment w:val="baseline"/>
              <w:rPr>
                <w:rFonts w:ascii="Times New Roman" w:hAnsi="Times New Roman"/>
                <w:color w:val="auto"/>
                <w:sz w:val="24"/>
                <w:szCs w:val="24"/>
                <w:highlight w:val="none"/>
              </w:rPr>
            </w:pPr>
            <w:r>
              <w:rPr>
                <w:rFonts w:hint="eastAsia" w:ascii="Times New Roman" w:hAnsi="Times New Roman"/>
                <w:b/>
                <w:bCs/>
                <w:color w:val="auto"/>
                <w:sz w:val="24"/>
                <w:szCs w:val="24"/>
                <w:highlight w:val="none"/>
              </w:rPr>
              <w:t>雷达静态参数</w:t>
            </w:r>
          </w:p>
        </w:tc>
      </w:tr>
      <w:tr w14:paraId="1B0DEE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524" w:type="pct"/>
            <w:vAlign w:val="center"/>
          </w:tcPr>
          <w:p w14:paraId="37574B03">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1</w:t>
            </w:r>
          </w:p>
        </w:tc>
        <w:tc>
          <w:tcPr>
            <w:tcW w:w="2272" w:type="pct"/>
            <w:vAlign w:val="center"/>
          </w:tcPr>
          <w:p w14:paraId="40D0E867">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雷达站号</w:t>
            </w:r>
          </w:p>
        </w:tc>
        <w:tc>
          <w:tcPr>
            <w:tcW w:w="2202" w:type="pct"/>
            <w:vAlign w:val="center"/>
          </w:tcPr>
          <w:p w14:paraId="619BDE02">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p>
        </w:tc>
      </w:tr>
      <w:tr w14:paraId="1D4B19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524" w:type="pct"/>
            <w:vAlign w:val="center"/>
          </w:tcPr>
          <w:p w14:paraId="7B403FD4">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2</w:t>
            </w:r>
          </w:p>
        </w:tc>
        <w:tc>
          <w:tcPr>
            <w:tcW w:w="2272" w:type="pct"/>
            <w:vAlign w:val="center"/>
          </w:tcPr>
          <w:p w14:paraId="38641784">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站点名称</w:t>
            </w:r>
          </w:p>
        </w:tc>
        <w:tc>
          <w:tcPr>
            <w:tcW w:w="2202" w:type="pct"/>
            <w:vAlign w:val="center"/>
          </w:tcPr>
          <w:p w14:paraId="7CC589AA">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p>
        </w:tc>
      </w:tr>
      <w:tr w14:paraId="1256A1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24" w:type="pct"/>
            <w:vAlign w:val="center"/>
          </w:tcPr>
          <w:p w14:paraId="641711C0">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3</w:t>
            </w:r>
          </w:p>
        </w:tc>
        <w:tc>
          <w:tcPr>
            <w:tcW w:w="2272" w:type="pct"/>
            <w:vAlign w:val="center"/>
          </w:tcPr>
          <w:p w14:paraId="3A480378">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纬度</w:t>
            </w:r>
          </w:p>
        </w:tc>
        <w:tc>
          <w:tcPr>
            <w:tcW w:w="2202" w:type="pct"/>
            <w:vAlign w:val="center"/>
          </w:tcPr>
          <w:p w14:paraId="0501BB37">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p>
        </w:tc>
      </w:tr>
      <w:tr w14:paraId="2C22DE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24" w:type="pct"/>
            <w:vAlign w:val="center"/>
          </w:tcPr>
          <w:p w14:paraId="04E70927">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4</w:t>
            </w:r>
          </w:p>
        </w:tc>
        <w:tc>
          <w:tcPr>
            <w:tcW w:w="2272" w:type="pct"/>
            <w:vAlign w:val="center"/>
          </w:tcPr>
          <w:p w14:paraId="4A914257">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经度</w:t>
            </w:r>
          </w:p>
        </w:tc>
        <w:tc>
          <w:tcPr>
            <w:tcW w:w="2202" w:type="pct"/>
            <w:vAlign w:val="center"/>
          </w:tcPr>
          <w:p w14:paraId="3F16A41E">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p>
        </w:tc>
      </w:tr>
      <w:tr w14:paraId="5AA2C4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24" w:type="pct"/>
            <w:vAlign w:val="center"/>
          </w:tcPr>
          <w:p w14:paraId="50E5B71B">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5</w:t>
            </w:r>
          </w:p>
        </w:tc>
        <w:tc>
          <w:tcPr>
            <w:tcW w:w="2272" w:type="pct"/>
            <w:vAlign w:val="center"/>
          </w:tcPr>
          <w:p w14:paraId="35B8B3CD">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天线高度</w:t>
            </w:r>
          </w:p>
        </w:tc>
        <w:tc>
          <w:tcPr>
            <w:tcW w:w="2202" w:type="pct"/>
            <w:vAlign w:val="center"/>
          </w:tcPr>
          <w:p w14:paraId="37D9E140">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天线阵面中心高度，单位：</w:t>
            </w:r>
            <w:r>
              <w:rPr>
                <w:rFonts w:ascii="Times New Roman" w:hAnsi="Times New Roman"/>
                <w:color w:val="auto"/>
                <w:sz w:val="24"/>
                <w:szCs w:val="24"/>
                <w:highlight w:val="none"/>
              </w:rPr>
              <w:t>m</w:t>
            </w:r>
          </w:p>
        </w:tc>
      </w:tr>
      <w:tr w14:paraId="004828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24" w:type="pct"/>
            <w:vAlign w:val="center"/>
          </w:tcPr>
          <w:p w14:paraId="5F791677">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6</w:t>
            </w:r>
          </w:p>
        </w:tc>
        <w:tc>
          <w:tcPr>
            <w:tcW w:w="2272" w:type="pct"/>
            <w:vAlign w:val="center"/>
          </w:tcPr>
          <w:p w14:paraId="73C438E1">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地面高度</w:t>
            </w:r>
          </w:p>
        </w:tc>
        <w:tc>
          <w:tcPr>
            <w:tcW w:w="2202" w:type="pct"/>
            <w:vAlign w:val="center"/>
          </w:tcPr>
          <w:p w14:paraId="2BBC0C25">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单位：</w:t>
            </w:r>
            <w:r>
              <w:rPr>
                <w:rFonts w:ascii="Times New Roman" w:hAnsi="Times New Roman"/>
                <w:color w:val="auto"/>
                <w:sz w:val="24"/>
                <w:szCs w:val="24"/>
                <w:highlight w:val="none"/>
              </w:rPr>
              <w:t>m</w:t>
            </w:r>
          </w:p>
        </w:tc>
      </w:tr>
      <w:tr w14:paraId="21FB34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24" w:type="pct"/>
            <w:vAlign w:val="center"/>
          </w:tcPr>
          <w:p w14:paraId="3A0007CA">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7</w:t>
            </w:r>
          </w:p>
        </w:tc>
        <w:tc>
          <w:tcPr>
            <w:tcW w:w="2272" w:type="pct"/>
            <w:vAlign w:val="center"/>
          </w:tcPr>
          <w:p w14:paraId="79A9B9A0">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雷达类型</w:t>
            </w:r>
          </w:p>
        </w:tc>
        <w:tc>
          <w:tcPr>
            <w:tcW w:w="2202" w:type="pct"/>
            <w:vAlign w:val="center"/>
          </w:tcPr>
          <w:p w14:paraId="37992FC8">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p>
        </w:tc>
      </w:tr>
      <w:tr w14:paraId="40A596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24" w:type="pct"/>
            <w:vAlign w:val="center"/>
          </w:tcPr>
          <w:p w14:paraId="106FC248">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8</w:t>
            </w:r>
          </w:p>
        </w:tc>
        <w:tc>
          <w:tcPr>
            <w:tcW w:w="2272" w:type="pct"/>
            <w:vAlign w:val="center"/>
          </w:tcPr>
          <w:p w14:paraId="43600379">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雷达型号</w:t>
            </w:r>
          </w:p>
        </w:tc>
        <w:tc>
          <w:tcPr>
            <w:tcW w:w="2202" w:type="pct"/>
            <w:vAlign w:val="center"/>
          </w:tcPr>
          <w:p w14:paraId="243F3D63">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p>
        </w:tc>
      </w:tr>
      <w:tr w14:paraId="2E35AF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24" w:type="pct"/>
            <w:vAlign w:val="center"/>
          </w:tcPr>
          <w:p w14:paraId="49FD1AF4">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9</w:t>
            </w:r>
          </w:p>
        </w:tc>
        <w:tc>
          <w:tcPr>
            <w:tcW w:w="2272" w:type="pct"/>
            <w:vAlign w:val="center"/>
          </w:tcPr>
          <w:p w14:paraId="4A7DB1E2">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终端软件版本号</w:t>
            </w:r>
          </w:p>
        </w:tc>
        <w:tc>
          <w:tcPr>
            <w:tcW w:w="2202" w:type="pct"/>
            <w:vAlign w:val="center"/>
          </w:tcPr>
          <w:p w14:paraId="7E06A4DD">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监控软件</w:t>
            </w:r>
          </w:p>
        </w:tc>
      </w:tr>
      <w:tr w14:paraId="0B0EC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524" w:type="pct"/>
            <w:vAlign w:val="center"/>
          </w:tcPr>
          <w:p w14:paraId="576D8B7E">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10</w:t>
            </w:r>
          </w:p>
        </w:tc>
        <w:tc>
          <w:tcPr>
            <w:tcW w:w="2272" w:type="pct"/>
            <w:vAlign w:val="center"/>
          </w:tcPr>
          <w:p w14:paraId="363FFB5C">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工作频率</w:t>
            </w:r>
          </w:p>
        </w:tc>
        <w:tc>
          <w:tcPr>
            <w:tcW w:w="2202" w:type="pct"/>
            <w:vAlign w:val="center"/>
          </w:tcPr>
          <w:p w14:paraId="54CC2ABF">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单位：</w:t>
            </w:r>
            <w:r>
              <w:rPr>
                <w:rFonts w:ascii="Times New Roman" w:hAnsi="Times New Roman"/>
                <w:color w:val="auto"/>
                <w:sz w:val="24"/>
                <w:szCs w:val="24"/>
                <w:highlight w:val="none"/>
              </w:rPr>
              <w:t>MHz</w:t>
            </w:r>
          </w:p>
        </w:tc>
      </w:tr>
      <w:tr w14:paraId="7444D5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24" w:type="pct"/>
            <w:vAlign w:val="center"/>
          </w:tcPr>
          <w:p w14:paraId="2BAC0F8A">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11</w:t>
            </w:r>
          </w:p>
        </w:tc>
        <w:tc>
          <w:tcPr>
            <w:tcW w:w="2272" w:type="pct"/>
            <w:vAlign w:val="center"/>
          </w:tcPr>
          <w:p w14:paraId="41E820EA">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水平通道发射增益</w:t>
            </w:r>
          </w:p>
        </w:tc>
        <w:tc>
          <w:tcPr>
            <w:tcW w:w="2202" w:type="pct"/>
            <w:vAlign w:val="center"/>
          </w:tcPr>
          <w:p w14:paraId="0C9428EB">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单位：</w:t>
            </w:r>
            <w:r>
              <w:rPr>
                <w:rFonts w:ascii="Times New Roman" w:hAnsi="Times New Roman"/>
                <w:color w:val="auto"/>
                <w:sz w:val="24"/>
                <w:szCs w:val="24"/>
                <w:highlight w:val="none"/>
              </w:rPr>
              <w:t>dB</w:t>
            </w:r>
          </w:p>
        </w:tc>
      </w:tr>
      <w:tr w14:paraId="444400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24" w:type="pct"/>
            <w:vAlign w:val="center"/>
          </w:tcPr>
          <w:p w14:paraId="345C8A96">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12</w:t>
            </w:r>
          </w:p>
        </w:tc>
        <w:tc>
          <w:tcPr>
            <w:tcW w:w="2272" w:type="pct"/>
            <w:vAlign w:val="center"/>
          </w:tcPr>
          <w:p w14:paraId="7256CED6">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垂直通道发射增益</w:t>
            </w:r>
          </w:p>
        </w:tc>
        <w:tc>
          <w:tcPr>
            <w:tcW w:w="2202" w:type="pct"/>
            <w:vAlign w:val="center"/>
          </w:tcPr>
          <w:p w14:paraId="4B3AA166">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单位：</w:t>
            </w:r>
            <w:r>
              <w:rPr>
                <w:rFonts w:ascii="Times New Roman" w:hAnsi="Times New Roman"/>
                <w:color w:val="auto"/>
                <w:sz w:val="24"/>
                <w:szCs w:val="24"/>
                <w:highlight w:val="none"/>
              </w:rPr>
              <w:t>dB</w:t>
            </w:r>
          </w:p>
        </w:tc>
      </w:tr>
      <w:tr w14:paraId="197157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24" w:type="pct"/>
            <w:vAlign w:val="center"/>
          </w:tcPr>
          <w:p w14:paraId="1CC1EBD1">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13</w:t>
            </w:r>
          </w:p>
        </w:tc>
        <w:tc>
          <w:tcPr>
            <w:tcW w:w="2272" w:type="pct"/>
            <w:vAlign w:val="center"/>
          </w:tcPr>
          <w:p w14:paraId="0D6F889D">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水平通道接收增益</w:t>
            </w:r>
          </w:p>
        </w:tc>
        <w:tc>
          <w:tcPr>
            <w:tcW w:w="2202" w:type="pct"/>
            <w:vAlign w:val="center"/>
          </w:tcPr>
          <w:p w14:paraId="7961BB0C">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单位：</w:t>
            </w:r>
            <w:r>
              <w:rPr>
                <w:rFonts w:ascii="Times New Roman" w:hAnsi="Times New Roman"/>
                <w:color w:val="auto"/>
                <w:sz w:val="24"/>
                <w:szCs w:val="24"/>
                <w:highlight w:val="none"/>
              </w:rPr>
              <w:t>dB</w:t>
            </w:r>
          </w:p>
        </w:tc>
      </w:tr>
      <w:tr w14:paraId="0EF078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24" w:type="pct"/>
            <w:vAlign w:val="center"/>
          </w:tcPr>
          <w:p w14:paraId="70FFE0F7">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14</w:t>
            </w:r>
          </w:p>
        </w:tc>
        <w:tc>
          <w:tcPr>
            <w:tcW w:w="2272" w:type="pct"/>
            <w:vAlign w:val="center"/>
          </w:tcPr>
          <w:p w14:paraId="5A80B52D">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垂直通道接收增益</w:t>
            </w:r>
          </w:p>
        </w:tc>
        <w:tc>
          <w:tcPr>
            <w:tcW w:w="2202" w:type="pct"/>
            <w:vAlign w:val="center"/>
          </w:tcPr>
          <w:p w14:paraId="7BC4CD7A">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单位：</w:t>
            </w:r>
            <w:r>
              <w:rPr>
                <w:rFonts w:ascii="Times New Roman" w:hAnsi="Times New Roman"/>
                <w:color w:val="auto"/>
                <w:sz w:val="24"/>
                <w:szCs w:val="24"/>
                <w:highlight w:val="none"/>
              </w:rPr>
              <w:t>dB</w:t>
            </w:r>
          </w:p>
        </w:tc>
      </w:tr>
      <w:tr w14:paraId="18255C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24" w:type="pct"/>
            <w:vAlign w:val="center"/>
          </w:tcPr>
          <w:p w14:paraId="2C467345">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15</w:t>
            </w:r>
          </w:p>
        </w:tc>
        <w:tc>
          <w:tcPr>
            <w:tcW w:w="2272" w:type="pct"/>
            <w:vAlign w:val="center"/>
          </w:tcPr>
          <w:p w14:paraId="6AE9929B">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水平极化发射波束宽度</w:t>
            </w:r>
          </w:p>
        </w:tc>
        <w:tc>
          <w:tcPr>
            <w:tcW w:w="2202" w:type="pct"/>
            <w:vAlign w:val="center"/>
          </w:tcPr>
          <w:p w14:paraId="3B334EF4">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单位：</w:t>
            </w:r>
            <w:r>
              <w:rPr>
                <w:rFonts w:ascii="Times New Roman" w:hAnsi="Times New Roman"/>
                <w:color w:val="auto"/>
                <w:sz w:val="24"/>
                <w:szCs w:val="24"/>
                <w:highlight w:val="none"/>
              </w:rPr>
              <w:t>°</w:t>
            </w:r>
          </w:p>
        </w:tc>
      </w:tr>
      <w:tr w14:paraId="69EEE4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24" w:type="pct"/>
            <w:vAlign w:val="center"/>
          </w:tcPr>
          <w:p w14:paraId="080004C7">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16</w:t>
            </w:r>
          </w:p>
        </w:tc>
        <w:tc>
          <w:tcPr>
            <w:tcW w:w="2272" w:type="pct"/>
            <w:vAlign w:val="center"/>
          </w:tcPr>
          <w:p w14:paraId="00086A0D">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垂直极化发射波束宽度</w:t>
            </w:r>
          </w:p>
        </w:tc>
        <w:tc>
          <w:tcPr>
            <w:tcW w:w="2202" w:type="pct"/>
            <w:vAlign w:val="center"/>
          </w:tcPr>
          <w:p w14:paraId="53A77781">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单位：</w:t>
            </w:r>
            <w:r>
              <w:rPr>
                <w:rFonts w:ascii="Times New Roman" w:hAnsi="Times New Roman"/>
                <w:color w:val="auto"/>
                <w:sz w:val="24"/>
                <w:szCs w:val="24"/>
                <w:highlight w:val="none"/>
              </w:rPr>
              <w:t>°</w:t>
            </w:r>
          </w:p>
        </w:tc>
      </w:tr>
      <w:tr w14:paraId="341722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24" w:type="pct"/>
            <w:vAlign w:val="center"/>
          </w:tcPr>
          <w:p w14:paraId="26DAE5D5">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17</w:t>
            </w:r>
          </w:p>
        </w:tc>
        <w:tc>
          <w:tcPr>
            <w:tcW w:w="2272" w:type="pct"/>
            <w:vAlign w:val="center"/>
          </w:tcPr>
          <w:p w14:paraId="4D9B9995">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水平极化接收波束宽度</w:t>
            </w:r>
          </w:p>
        </w:tc>
        <w:tc>
          <w:tcPr>
            <w:tcW w:w="2202" w:type="pct"/>
            <w:vAlign w:val="center"/>
          </w:tcPr>
          <w:p w14:paraId="5A05D266">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单位：</w:t>
            </w:r>
            <w:r>
              <w:rPr>
                <w:rFonts w:ascii="Times New Roman" w:hAnsi="Times New Roman"/>
                <w:color w:val="auto"/>
                <w:sz w:val="24"/>
                <w:szCs w:val="24"/>
                <w:highlight w:val="none"/>
              </w:rPr>
              <w:t>°</w:t>
            </w:r>
          </w:p>
        </w:tc>
      </w:tr>
      <w:tr w14:paraId="179C57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524" w:type="pct"/>
            <w:vAlign w:val="center"/>
          </w:tcPr>
          <w:p w14:paraId="29B25B42">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18</w:t>
            </w:r>
          </w:p>
        </w:tc>
        <w:tc>
          <w:tcPr>
            <w:tcW w:w="2272" w:type="pct"/>
            <w:vAlign w:val="center"/>
          </w:tcPr>
          <w:p w14:paraId="31660CFC">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垂直极化接收波束宽度</w:t>
            </w:r>
          </w:p>
        </w:tc>
        <w:tc>
          <w:tcPr>
            <w:tcW w:w="2202" w:type="pct"/>
            <w:vAlign w:val="center"/>
          </w:tcPr>
          <w:p w14:paraId="6A9A0F3B">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单位：</w:t>
            </w:r>
            <w:r>
              <w:rPr>
                <w:rFonts w:ascii="Times New Roman" w:hAnsi="Times New Roman"/>
                <w:color w:val="auto"/>
                <w:sz w:val="24"/>
                <w:szCs w:val="24"/>
                <w:highlight w:val="none"/>
              </w:rPr>
              <w:t>°</w:t>
            </w:r>
          </w:p>
        </w:tc>
      </w:tr>
      <w:tr w14:paraId="7E2F37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24" w:type="pct"/>
            <w:vAlign w:val="center"/>
          </w:tcPr>
          <w:p w14:paraId="4CDB9E5C">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19</w:t>
            </w:r>
          </w:p>
        </w:tc>
        <w:tc>
          <w:tcPr>
            <w:tcW w:w="2272" w:type="pct"/>
            <w:vAlign w:val="center"/>
          </w:tcPr>
          <w:p w14:paraId="5AFC87E5">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发射馈线损耗</w:t>
            </w:r>
          </w:p>
        </w:tc>
        <w:tc>
          <w:tcPr>
            <w:tcW w:w="2202" w:type="pct"/>
            <w:vAlign w:val="center"/>
          </w:tcPr>
          <w:p w14:paraId="2853F273">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单位：</w:t>
            </w:r>
            <w:r>
              <w:rPr>
                <w:rFonts w:ascii="Times New Roman" w:hAnsi="Times New Roman"/>
                <w:color w:val="auto"/>
                <w:sz w:val="24"/>
                <w:szCs w:val="24"/>
                <w:highlight w:val="none"/>
              </w:rPr>
              <w:t>dB</w:t>
            </w:r>
          </w:p>
        </w:tc>
      </w:tr>
      <w:tr w14:paraId="3AD122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24" w:type="pct"/>
            <w:vAlign w:val="center"/>
          </w:tcPr>
          <w:p w14:paraId="27C88983">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20</w:t>
            </w:r>
          </w:p>
        </w:tc>
        <w:tc>
          <w:tcPr>
            <w:tcW w:w="2272" w:type="pct"/>
            <w:vAlign w:val="center"/>
          </w:tcPr>
          <w:p w14:paraId="1901CA85">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接收馈线损耗</w:t>
            </w:r>
          </w:p>
        </w:tc>
        <w:tc>
          <w:tcPr>
            <w:tcW w:w="2202" w:type="pct"/>
            <w:vAlign w:val="center"/>
          </w:tcPr>
          <w:p w14:paraId="6DF13B0A">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单位：</w:t>
            </w:r>
            <w:r>
              <w:rPr>
                <w:rFonts w:ascii="Times New Roman" w:hAnsi="Times New Roman"/>
                <w:color w:val="auto"/>
                <w:sz w:val="24"/>
                <w:szCs w:val="24"/>
                <w:highlight w:val="none"/>
              </w:rPr>
              <w:t>dB</w:t>
            </w:r>
          </w:p>
        </w:tc>
      </w:tr>
      <w:tr w14:paraId="488BF5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24" w:type="pct"/>
            <w:vAlign w:val="center"/>
          </w:tcPr>
          <w:p w14:paraId="2EA39719">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21</w:t>
            </w:r>
          </w:p>
        </w:tc>
        <w:tc>
          <w:tcPr>
            <w:tcW w:w="2272" w:type="pct"/>
            <w:vAlign w:val="center"/>
          </w:tcPr>
          <w:p w14:paraId="7765295E">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其他损耗</w:t>
            </w:r>
          </w:p>
        </w:tc>
        <w:tc>
          <w:tcPr>
            <w:tcW w:w="2202" w:type="pct"/>
            <w:vAlign w:val="center"/>
          </w:tcPr>
          <w:p w14:paraId="2A988B4F">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单位：</w:t>
            </w:r>
            <w:r>
              <w:rPr>
                <w:rFonts w:ascii="Times New Roman" w:hAnsi="Times New Roman"/>
                <w:color w:val="auto"/>
                <w:sz w:val="24"/>
                <w:szCs w:val="24"/>
                <w:highlight w:val="none"/>
              </w:rPr>
              <w:t>dB</w:t>
            </w:r>
          </w:p>
        </w:tc>
      </w:tr>
      <w:tr w14:paraId="2C820E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000" w:type="pct"/>
            <w:gridSpan w:val="3"/>
            <w:vAlign w:val="center"/>
          </w:tcPr>
          <w:p w14:paraId="56AF2099">
            <w:pPr>
              <w:widowControl/>
              <w:kinsoku w:val="0"/>
              <w:autoSpaceDE w:val="0"/>
              <w:autoSpaceDN w:val="0"/>
              <w:adjustRightInd w:val="0"/>
              <w:snapToGrid w:val="0"/>
              <w:spacing w:line="360" w:lineRule="auto"/>
              <w:ind w:left="105" w:leftChars="50"/>
              <w:jc w:val="center"/>
              <w:textAlignment w:val="baseline"/>
              <w:rPr>
                <w:rFonts w:ascii="Times New Roman" w:hAnsi="Times New Roman"/>
                <w:color w:val="auto"/>
                <w:sz w:val="24"/>
                <w:szCs w:val="24"/>
                <w:highlight w:val="none"/>
              </w:rPr>
            </w:pPr>
            <w:r>
              <w:rPr>
                <w:rFonts w:hint="eastAsia" w:ascii="Times New Roman" w:hAnsi="Times New Roman"/>
                <w:b/>
                <w:bCs/>
                <w:color w:val="auto"/>
                <w:sz w:val="24"/>
                <w:szCs w:val="24"/>
                <w:highlight w:val="none"/>
              </w:rPr>
              <w:t>雷达运行模式参数</w:t>
            </w:r>
          </w:p>
        </w:tc>
      </w:tr>
      <w:tr w14:paraId="2475B3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24" w:type="pct"/>
            <w:vAlign w:val="center"/>
          </w:tcPr>
          <w:p w14:paraId="7443310D">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22</w:t>
            </w:r>
          </w:p>
        </w:tc>
        <w:tc>
          <w:tcPr>
            <w:tcW w:w="2272" w:type="pct"/>
            <w:vAlign w:val="center"/>
          </w:tcPr>
          <w:p w14:paraId="1B26B4F7">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日期</w:t>
            </w:r>
          </w:p>
        </w:tc>
        <w:tc>
          <w:tcPr>
            <w:tcW w:w="2202" w:type="pct"/>
            <w:vAlign w:val="center"/>
          </w:tcPr>
          <w:p w14:paraId="6A18AE01">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p>
        </w:tc>
      </w:tr>
      <w:tr w14:paraId="6C035F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24" w:type="pct"/>
            <w:vAlign w:val="center"/>
          </w:tcPr>
          <w:p w14:paraId="36A711E8">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23</w:t>
            </w:r>
          </w:p>
        </w:tc>
        <w:tc>
          <w:tcPr>
            <w:tcW w:w="2272" w:type="pct"/>
            <w:vAlign w:val="center"/>
          </w:tcPr>
          <w:p w14:paraId="50144A7A">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时间</w:t>
            </w:r>
          </w:p>
        </w:tc>
        <w:tc>
          <w:tcPr>
            <w:tcW w:w="2202" w:type="pct"/>
            <w:vAlign w:val="center"/>
          </w:tcPr>
          <w:p w14:paraId="59CEFA29">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p>
        </w:tc>
      </w:tr>
      <w:tr w14:paraId="740340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24" w:type="pct"/>
            <w:vAlign w:val="center"/>
          </w:tcPr>
          <w:p w14:paraId="45599E4F">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24</w:t>
            </w:r>
          </w:p>
        </w:tc>
        <w:tc>
          <w:tcPr>
            <w:tcW w:w="2272" w:type="pct"/>
            <w:vAlign w:val="center"/>
          </w:tcPr>
          <w:p w14:paraId="625D42F1">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体扫模式</w:t>
            </w:r>
          </w:p>
        </w:tc>
        <w:tc>
          <w:tcPr>
            <w:tcW w:w="2202" w:type="pct"/>
            <w:vAlign w:val="center"/>
          </w:tcPr>
          <w:p w14:paraId="007DD8E4">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p>
        </w:tc>
      </w:tr>
      <w:tr w14:paraId="58CD21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24" w:type="pct"/>
            <w:vAlign w:val="center"/>
          </w:tcPr>
          <w:p w14:paraId="302325ED">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25</w:t>
            </w:r>
          </w:p>
        </w:tc>
        <w:tc>
          <w:tcPr>
            <w:tcW w:w="2272" w:type="pct"/>
            <w:vAlign w:val="center"/>
          </w:tcPr>
          <w:p w14:paraId="35195193">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控制权标志</w:t>
            </w:r>
          </w:p>
        </w:tc>
        <w:tc>
          <w:tcPr>
            <w:tcW w:w="2202" w:type="pct"/>
            <w:vAlign w:val="center"/>
          </w:tcPr>
          <w:p w14:paraId="28D736A3">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本控、遥控</w:t>
            </w:r>
          </w:p>
        </w:tc>
      </w:tr>
      <w:tr w14:paraId="0FA4D0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24" w:type="pct"/>
            <w:vAlign w:val="center"/>
          </w:tcPr>
          <w:p w14:paraId="24F319E6">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26</w:t>
            </w:r>
          </w:p>
        </w:tc>
        <w:tc>
          <w:tcPr>
            <w:tcW w:w="2272" w:type="pct"/>
            <w:vAlign w:val="center"/>
          </w:tcPr>
          <w:p w14:paraId="41477AC4">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系统状态</w:t>
            </w:r>
          </w:p>
        </w:tc>
        <w:tc>
          <w:tcPr>
            <w:tcW w:w="2202" w:type="pct"/>
            <w:vAlign w:val="center"/>
          </w:tcPr>
          <w:p w14:paraId="37FF20EE">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正常、可用、需维护、故障、关机</w:t>
            </w:r>
          </w:p>
        </w:tc>
      </w:tr>
      <w:tr w14:paraId="06D120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24" w:type="pct"/>
            <w:vAlign w:val="center"/>
          </w:tcPr>
          <w:p w14:paraId="71C3B0D9">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27</w:t>
            </w:r>
          </w:p>
        </w:tc>
        <w:tc>
          <w:tcPr>
            <w:tcW w:w="2272" w:type="pct"/>
            <w:vAlign w:val="center"/>
          </w:tcPr>
          <w:p w14:paraId="11D4291D">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上传状态数据格式版本号</w:t>
            </w:r>
          </w:p>
        </w:tc>
        <w:tc>
          <w:tcPr>
            <w:tcW w:w="2202" w:type="pct"/>
            <w:vAlign w:val="center"/>
          </w:tcPr>
          <w:p w14:paraId="6E39583D">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p>
        </w:tc>
      </w:tr>
      <w:tr w14:paraId="0186DB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24" w:type="pct"/>
            <w:vAlign w:val="center"/>
          </w:tcPr>
          <w:p w14:paraId="6EA11F99">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28</w:t>
            </w:r>
          </w:p>
        </w:tc>
        <w:tc>
          <w:tcPr>
            <w:tcW w:w="2272" w:type="pct"/>
            <w:vAlign w:val="center"/>
          </w:tcPr>
          <w:p w14:paraId="323702C7">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雷达标记</w:t>
            </w:r>
          </w:p>
        </w:tc>
        <w:tc>
          <w:tcPr>
            <w:tcW w:w="2202" w:type="pct"/>
            <w:vAlign w:val="center"/>
          </w:tcPr>
          <w:p w14:paraId="5BA91EF4">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相控阵、多普勒、双偏振</w:t>
            </w:r>
          </w:p>
        </w:tc>
      </w:tr>
      <w:tr w14:paraId="17D835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000" w:type="pct"/>
            <w:gridSpan w:val="3"/>
            <w:vAlign w:val="center"/>
          </w:tcPr>
          <w:p w14:paraId="4B4C0A94">
            <w:pPr>
              <w:widowControl/>
              <w:kinsoku w:val="0"/>
              <w:autoSpaceDE w:val="0"/>
              <w:autoSpaceDN w:val="0"/>
              <w:adjustRightInd w:val="0"/>
              <w:snapToGrid w:val="0"/>
              <w:spacing w:line="360" w:lineRule="auto"/>
              <w:ind w:left="105" w:leftChars="50"/>
              <w:jc w:val="center"/>
              <w:textAlignment w:val="baseline"/>
              <w:rPr>
                <w:rFonts w:ascii="Times New Roman" w:hAnsi="Times New Roman"/>
                <w:color w:val="auto"/>
                <w:sz w:val="24"/>
                <w:szCs w:val="24"/>
                <w:highlight w:val="none"/>
              </w:rPr>
            </w:pPr>
            <w:r>
              <w:rPr>
                <w:rFonts w:hint="eastAsia" w:ascii="Times New Roman" w:hAnsi="Times New Roman"/>
                <w:b/>
                <w:bCs/>
                <w:color w:val="auto"/>
                <w:sz w:val="24"/>
                <w:szCs w:val="24"/>
                <w:highlight w:val="none"/>
              </w:rPr>
              <w:t>雷达运行环境参数</w:t>
            </w:r>
          </w:p>
        </w:tc>
      </w:tr>
      <w:tr w14:paraId="4DB868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24" w:type="pct"/>
            <w:vAlign w:val="center"/>
          </w:tcPr>
          <w:p w14:paraId="1385F490">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29</w:t>
            </w:r>
          </w:p>
        </w:tc>
        <w:tc>
          <w:tcPr>
            <w:tcW w:w="2272" w:type="pct"/>
            <w:vAlign w:val="center"/>
          </w:tcPr>
          <w:p w14:paraId="58DB6B91">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阵面温度</w:t>
            </w:r>
          </w:p>
        </w:tc>
        <w:tc>
          <w:tcPr>
            <w:tcW w:w="2202" w:type="pct"/>
            <w:vAlign w:val="center"/>
          </w:tcPr>
          <w:p w14:paraId="6A761948">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单位：</w:t>
            </w:r>
            <w:r>
              <w:rPr>
                <w:rFonts w:ascii="Times New Roman" w:hAnsi="Times New Roman"/>
                <w:color w:val="auto"/>
                <w:sz w:val="24"/>
                <w:szCs w:val="24"/>
                <w:highlight w:val="none"/>
              </w:rPr>
              <w:t>℃</w:t>
            </w:r>
          </w:p>
        </w:tc>
      </w:tr>
      <w:tr w14:paraId="77EE80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524" w:type="pct"/>
            <w:vAlign w:val="center"/>
          </w:tcPr>
          <w:p w14:paraId="03FA0989">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30</w:t>
            </w:r>
          </w:p>
        </w:tc>
        <w:tc>
          <w:tcPr>
            <w:tcW w:w="2272" w:type="pct"/>
            <w:vAlign w:val="center"/>
          </w:tcPr>
          <w:p w14:paraId="0E56D4D9">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各组件温度</w:t>
            </w:r>
          </w:p>
        </w:tc>
        <w:tc>
          <w:tcPr>
            <w:tcW w:w="2202" w:type="pct"/>
            <w:vAlign w:val="center"/>
          </w:tcPr>
          <w:p w14:paraId="0CF0AC0A">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单位：</w:t>
            </w:r>
            <w:r>
              <w:rPr>
                <w:rFonts w:ascii="Times New Roman" w:hAnsi="Times New Roman"/>
                <w:color w:val="auto"/>
                <w:sz w:val="24"/>
                <w:szCs w:val="24"/>
                <w:highlight w:val="none"/>
              </w:rPr>
              <w:t>℃</w:t>
            </w:r>
          </w:p>
        </w:tc>
      </w:tr>
      <w:tr w14:paraId="1EAB38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24" w:type="pct"/>
            <w:vAlign w:val="center"/>
          </w:tcPr>
          <w:p w14:paraId="3E13D4D0">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31</w:t>
            </w:r>
          </w:p>
        </w:tc>
        <w:tc>
          <w:tcPr>
            <w:tcW w:w="2272" w:type="pct"/>
            <w:vAlign w:val="center"/>
          </w:tcPr>
          <w:p w14:paraId="75157594">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底座温度</w:t>
            </w:r>
          </w:p>
        </w:tc>
        <w:tc>
          <w:tcPr>
            <w:tcW w:w="2202" w:type="pct"/>
            <w:vAlign w:val="center"/>
          </w:tcPr>
          <w:p w14:paraId="0BA88B10">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单位：</w:t>
            </w:r>
            <w:r>
              <w:rPr>
                <w:rFonts w:ascii="Times New Roman" w:hAnsi="Times New Roman"/>
                <w:color w:val="auto"/>
                <w:sz w:val="24"/>
                <w:szCs w:val="24"/>
                <w:highlight w:val="none"/>
              </w:rPr>
              <w:t>℃</w:t>
            </w:r>
          </w:p>
        </w:tc>
      </w:tr>
      <w:tr w14:paraId="5EAE66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24" w:type="pct"/>
            <w:vAlign w:val="center"/>
          </w:tcPr>
          <w:p w14:paraId="10544902">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32</w:t>
            </w:r>
          </w:p>
        </w:tc>
        <w:tc>
          <w:tcPr>
            <w:tcW w:w="2272" w:type="pct"/>
            <w:vAlign w:val="center"/>
          </w:tcPr>
          <w:p w14:paraId="60EFB137">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组件总电压</w:t>
            </w:r>
          </w:p>
        </w:tc>
        <w:tc>
          <w:tcPr>
            <w:tcW w:w="2202" w:type="pct"/>
            <w:vAlign w:val="center"/>
          </w:tcPr>
          <w:p w14:paraId="56D52686">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单位：</w:t>
            </w:r>
            <w:r>
              <w:rPr>
                <w:rFonts w:ascii="Times New Roman" w:hAnsi="Times New Roman"/>
                <w:color w:val="auto"/>
                <w:sz w:val="24"/>
                <w:szCs w:val="24"/>
                <w:highlight w:val="none"/>
              </w:rPr>
              <w:t>V</w:t>
            </w:r>
          </w:p>
        </w:tc>
      </w:tr>
      <w:tr w14:paraId="7D203F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524" w:type="pct"/>
            <w:vAlign w:val="center"/>
          </w:tcPr>
          <w:p w14:paraId="797096EF">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33</w:t>
            </w:r>
          </w:p>
        </w:tc>
        <w:tc>
          <w:tcPr>
            <w:tcW w:w="2272" w:type="pct"/>
            <w:vAlign w:val="center"/>
          </w:tcPr>
          <w:p w14:paraId="2E8E258B">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组件总电流</w:t>
            </w:r>
          </w:p>
        </w:tc>
        <w:tc>
          <w:tcPr>
            <w:tcW w:w="2202" w:type="pct"/>
            <w:vAlign w:val="center"/>
          </w:tcPr>
          <w:p w14:paraId="1ADB0DD0">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单位：</w:t>
            </w:r>
            <w:r>
              <w:rPr>
                <w:rFonts w:ascii="Times New Roman" w:hAnsi="Times New Roman"/>
                <w:color w:val="auto"/>
                <w:sz w:val="24"/>
                <w:szCs w:val="24"/>
                <w:highlight w:val="none"/>
              </w:rPr>
              <w:t>A</w:t>
            </w:r>
          </w:p>
        </w:tc>
      </w:tr>
      <w:tr w14:paraId="3D4A6D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524" w:type="pct"/>
            <w:vAlign w:val="center"/>
          </w:tcPr>
          <w:p w14:paraId="431EC450">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34</w:t>
            </w:r>
          </w:p>
        </w:tc>
        <w:tc>
          <w:tcPr>
            <w:tcW w:w="2272" w:type="pct"/>
            <w:vAlign w:val="center"/>
          </w:tcPr>
          <w:p w14:paraId="5622FDD3">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各组件功率</w:t>
            </w:r>
          </w:p>
        </w:tc>
        <w:tc>
          <w:tcPr>
            <w:tcW w:w="2202" w:type="pct"/>
            <w:vAlign w:val="center"/>
          </w:tcPr>
          <w:p w14:paraId="33622271">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单位：</w:t>
            </w:r>
            <w:r>
              <w:rPr>
                <w:rFonts w:ascii="Times New Roman" w:hAnsi="Times New Roman"/>
                <w:color w:val="auto"/>
                <w:sz w:val="24"/>
                <w:szCs w:val="24"/>
                <w:highlight w:val="none"/>
              </w:rPr>
              <w:t>W</w:t>
            </w:r>
          </w:p>
        </w:tc>
      </w:tr>
      <w:tr w14:paraId="270F67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24" w:type="pct"/>
            <w:vAlign w:val="center"/>
          </w:tcPr>
          <w:p w14:paraId="06919828">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35</w:t>
            </w:r>
          </w:p>
        </w:tc>
        <w:tc>
          <w:tcPr>
            <w:tcW w:w="2272" w:type="pct"/>
            <w:vAlign w:val="center"/>
          </w:tcPr>
          <w:p w14:paraId="6EF6F622">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各组件工作状态</w:t>
            </w:r>
          </w:p>
        </w:tc>
        <w:tc>
          <w:tcPr>
            <w:tcW w:w="2202" w:type="pct"/>
            <w:vAlign w:val="center"/>
          </w:tcPr>
          <w:p w14:paraId="64CE57B3">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正常、警告、故障</w:t>
            </w:r>
          </w:p>
        </w:tc>
      </w:tr>
      <w:tr w14:paraId="0F99C3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000" w:type="pct"/>
            <w:gridSpan w:val="3"/>
            <w:vAlign w:val="center"/>
          </w:tcPr>
          <w:p w14:paraId="2DEE4746">
            <w:pPr>
              <w:widowControl/>
              <w:kinsoku w:val="0"/>
              <w:autoSpaceDE w:val="0"/>
              <w:autoSpaceDN w:val="0"/>
              <w:adjustRightInd w:val="0"/>
              <w:snapToGrid w:val="0"/>
              <w:spacing w:line="360" w:lineRule="auto"/>
              <w:ind w:left="105" w:leftChars="50"/>
              <w:jc w:val="center"/>
              <w:textAlignment w:val="baseline"/>
              <w:rPr>
                <w:rFonts w:ascii="Times New Roman" w:hAnsi="Times New Roman"/>
                <w:color w:val="auto"/>
                <w:sz w:val="24"/>
                <w:szCs w:val="24"/>
                <w:highlight w:val="none"/>
              </w:rPr>
            </w:pPr>
            <w:r>
              <w:rPr>
                <w:rFonts w:hint="eastAsia" w:ascii="Times New Roman" w:hAnsi="Times New Roman"/>
                <w:b/>
                <w:bCs/>
                <w:color w:val="auto"/>
                <w:sz w:val="24"/>
                <w:szCs w:val="24"/>
                <w:highlight w:val="none"/>
              </w:rPr>
              <w:t>雷达在线标定参数</w:t>
            </w:r>
          </w:p>
        </w:tc>
      </w:tr>
      <w:tr w14:paraId="602626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24" w:type="pct"/>
            <w:vAlign w:val="center"/>
          </w:tcPr>
          <w:p w14:paraId="768F0D3C">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36</w:t>
            </w:r>
          </w:p>
        </w:tc>
        <w:tc>
          <w:tcPr>
            <w:tcW w:w="2272" w:type="pct"/>
            <w:vAlign w:val="center"/>
          </w:tcPr>
          <w:p w14:paraId="23D179A4">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水平通道滤波前回波强度</w:t>
            </w:r>
          </w:p>
        </w:tc>
        <w:tc>
          <w:tcPr>
            <w:tcW w:w="2202" w:type="pct"/>
            <w:vAlign w:val="center"/>
          </w:tcPr>
          <w:p w14:paraId="3C90A0D7">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单位：</w:t>
            </w:r>
            <w:r>
              <w:rPr>
                <w:rFonts w:ascii="Times New Roman" w:hAnsi="Times New Roman"/>
                <w:color w:val="auto"/>
                <w:sz w:val="24"/>
                <w:szCs w:val="24"/>
                <w:highlight w:val="none"/>
              </w:rPr>
              <w:t>dBZ</w:t>
            </w:r>
          </w:p>
        </w:tc>
      </w:tr>
      <w:tr w14:paraId="2DA612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524" w:type="pct"/>
            <w:vAlign w:val="center"/>
          </w:tcPr>
          <w:p w14:paraId="7ED430E3">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37</w:t>
            </w:r>
          </w:p>
        </w:tc>
        <w:tc>
          <w:tcPr>
            <w:tcW w:w="2272" w:type="pct"/>
            <w:vAlign w:val="center"/>
          </w:tcPr>
          <w:p w14:paraId="7A4E7381">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水平通道滤波后回波强度</w:t>
            </w:r>
          </w:p>
        </w:tc>
        <w:tc>
          <w:tcPr>
            <w:tcW w:w="2202" w:type="pct"/>
            <w:vAlign w:val="center"/>
          </w:tcPr>
          <w:p w14:paraId="586924CF">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单位：</w:t>
            </w:r>
            <w:r>
              <w:rPr>
                <w:rFonts w:ascii="Times New Roman" w:hAnsi="Times New Roman"/>
                <w:color w:val="auto"/>
                <w:sz w:val="24"/>
                <w:szCs w:val="24"/>
                <w:highlight w:val="none"/>
              </w:rPr>
              <w:t>dBZ</w:t>
            </w:r>
          </w:p>
        </w:tc>
      </w:tr>
      <w:tr w14:paraId="3E2EBC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524" w:type="pct"/>
            <w:vAlign w:val="center"/>
          </w:tcPr>
          <w:p w14:paraId="2D0EAAF7">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38</w:t>
            </w:r>
          </w:p>
        </w:tc>
        <w:tc>
          <w:tcPr>
            <w:tcW w:w="2272" w:type="pct"/>
            <w:vAlign w:val="center"/>
          </w:tcPr>
          <w:p w14:paraId="268F9866">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垂直通道滤波前回波强度</w:t>
            </w:r>
          </w:p>
        </w:tc>
        <w:tc>
          <w:tcPr>
            <w:tcW w:w="2202" w:type="pct"/>
            <w:vAlign w:val="center"/>
          </w:tcPr>
          <w:p w14:paraId="1B6ED4A8">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单位：</w:t>
            </w:r>
            <w:r>
              <w:rPr>
                <w:rFonts w:ascii="Times New Roman" w:hAnsi="Times New Roman"/>
                <w:color w:val="auto"/>
                <w:sz w:val="24"/>
                <w:szCs w:val="24"/>
                <w:highlight w:val="none"/>
              </w:rPr>
              <w:t>dBZ</w:t>
            </w:r>
          </w:p>
        </w:tc>
      </w:tr>
      <w:tr w14:paraId="7DEFC9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524" w:type="pct"/>
            <w:vAlign w:val="center"/>
          </w:tcPr>
          <w:p w14:paraId="1226B572">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39</w:t>
            </w:r>
          </w:p>
        </w:tc>
        <w:tc>
          <w:tcPr>
            <w:tcW w:w="2272" w:type="pct"/>
            <w:vAlign w:val="center"/>
          </w:tcPr>
          <w:p w14:paraId="17DD6E54">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垂直通道滤波后回波强度</w:t>
            </w:r>
          </w:p>
        </w:tc>
        <w:tc>
          <w:tcPr>
            <w:tcW w:w="2202" w:type="pct"/>
            <w:vAlign w:val="center"/>
          </w:tcPr>
          <w:p w14:paraId="71464F01">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单位：</w:t>
            </w:r>
            <w:r>
              <w:rPr>
                <w:rFonts w:ascii="Times New Roman" w:hAnsi="Times New Roman"/>
                <w:color w:val="auto"/>
                <w:sz w:val="24"/>
                <w:szCs w:val="24"/>
                <w:highlight w:val="none"/>
              </w:rPr>
              <w:t>dBZ</w:t>
            </w:r>
          </w:p>
        </w:tc>
      </w:tr>
      <w:tr w14:paraId="2AE697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24" w:type="pct"/>
            <w:vAlign w:val="center"/>
          </w:tcPr>
          <w:p w14:paraId="267D9F6D">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40</w:t>
            </w:r>
          </w:p>
        </w:tc>
        <w:tc>
          <w:tcPr>
            <w:tcW w:w="2272" w:type="pct"/>
            <w:vAlign w:val="center"/>
          </w:tcPr>
          <w:p w14:paraId="16116FF9">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各水平极化单元峰值功率</w:t>
            </w:r>
          </w:p>
        </w:tc>
        <w:tc>
          <w:tcPr>
            <w:tcW w:w="2202" w:type="pct"/>
            <w:vAlign w:val="center"/>
          </w:tcPr>
          <w:p w14:paraId="42EBF054">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单位：</w:t>
            </w:r>
            <w:r>
              <w:rPr>
                <w:rFonts w:ascii="Times New Roman" w:hAnsi="Times New Roman"/>
                <w:color w:val="auto"/>
                <w:sz w:val="24"/>
                <w:szCs w:val="24"/>
                <w:highlight w:val="none"/>
              </w:rPr>
              <w:t>W</w:t>
            </w:r>
          </w:p>
        </w:tc>
      </w:tr>
      <w:tr w14:paraId="5965AF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24" w:type="pct"/>
            <w:vAlign w:val="center"/>
          </w:tcPr>
          <w:p w14:paraId="416F00FC">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41</w:t>
            </w:r>
          </w:p>
        </w:tc>
        <w:tc>
          <w:tcPr>
            <w:tcW w:w="2272" w:type="pct"/>
            <w:vAlign w:val="center"/>
          </w:tcPr>
          <w:p w14:paraId="7651A9AF">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各垂直极化单元峰值功率</w:t>
            </w:r>
          </w:p>
        </w:tc>
        <w:tc>
          <w:tcPr>
            <w:tcW w:w="2202" w:type="pct"/>
            <w:vAlign w:val="center"/>
          </w:tcPr>
          <w:p w14:paraId="3DBB0E87">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单位：</w:t>
            </w:r>
            <w:r>
              <w:rPr>
                <w:rFonts w:ascii="Times New Roman" w:hAnsi="Times New Roman"/>
                <w:color w:val="auto"/>
                <w:sz w:val="24"/>
                <w:szCs w:val="24"/>
                <w:highlight w:val="none"/>
              </w:rPr>
              <w:t>W</w:t>
            </w:r>
          </w:p>
        </w:tc>
      </w:tr>
      <w:tr w14:paraId="3EEB53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24" w:type="pct"/>
            <w:vAlign w:val="center"/>
          </w:tcPr>
          <w:p w14:paraId="5A3AC503">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42</w:t>
            </w:r>
          </w:p>
        </w:tc>
        <w:tc>
          <w:tcPr>
            <w:tcW w:w="2272" w:type="pct"/>
            <w:vAlign w:val="center"/>
          </w:tcPr>
          <w:p w14:paraId="7D172A64">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水平极化短脉冲宽度</w:t>
            </w:r>
          </w:p>
        </w:tc>
        <w:tc>
          <w:tcPr>
            <w:tcW w:w="2202" w:type="pct"/>
            <w:vAlign w:val="center"/>
          </w:tcPr>
          <w:p w14:paraId="6A142220">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单位：</w:t>
            </w:r>
            <w:r>
              <w:rPr>
                <w:rFonts w:ascii="Times New Roman" w:hAnsi="Times New Roman"/>
                <w:color w:val="auto"/>
                <w:sz w:val="24"/>
                <w:szCs w:val="24"/>
                <w:highlight w:val="none"/>
              </w:rPr>
              <w:t>μs</w:t>
            </w:r>
          </w:p>
        </w:tc>
      </w:tr>
      <w:tr w14:paraId="283FFD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24" w:type="pct"/>
            <w:vAlign w:val="center"/>
          </w:tcPr>
          <w:p w14:paraId="01E8AB01">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43</w:t>
            </w:r>
          </w:p>
        </w:tc>
        <w:tc>
          <w:tcPr>
            <w:tcW w:w="2272" w:type="pct"/>
            <w:vAlign w:val="center"/>
          </w:tcPr>
          <w:p w14:paraId="59171300">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水平极化中脉冲宽度</w:t>
            </w:r>
          </w:p>
        </w:tc>
        <w:tc>
          <w:tcPr>
            <w:tcW w:w="2202" w:type="pct"/>
            <w:vAlign w:val="center"/>
          </w:tcPr>
          <w:p w14:paraId="5D3CFD38">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单位：</w:t>
            </w:r>
            <w:r>
              <w:rPr>
                <w:rFonts w:ascii="Times New Roman" w:hAnsi="Times New Roman"/>
                <w:color w:val="auto"/>
                <w:sz w:val="24"/>
                <w:szCs w:val="24"/>
                <w:highlight w:val="none"/>
              </w:rPr>
              <w:t>μs</w:t>
            </w:r>
          </w:p>
        </w:tc>
      </w:tr>
      <w:tr w14:paraId="293AFE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24" w:type="pct"/>
            <w:vAlign w:val="center"/>
          </w:tcPr>
          <w:p w14:paraId="227E3BA0">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44</w:t>
            </w:r>
          </w:p>
        </w:tc>
        <w:tc>
          <w:tcPr>
            <w:tcW w:w="2272" w:type="pct"/>
            <w:vAlign w:val="center"/>
          </w:tcPr>
          <w:p w14:paraId="515BBE90">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水平极化长脉冲宽度</w:t>
            </w:r>
          </w:p>
        </w:tc>
        <w:tc>
          <w:tcPr>
            <w:tcW w:w="2202" w:type="pct"/>
            <w:vAlign w:val="center"/>
          </w:tcPr>
          <w:p w14:paraId="0384F15D">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单位：</w:t>
            </w:r>
            <w:r>
              <w:rPr>
                <w:rFonts w:ascii="Times New Roman" w:hAnsi="Times New Roman"/>
                <w:color w:val="auto"/>
                <w:sz w:val="24"/>
                <w:szCs w:val="24"/>
                <w:highlight w:val="none"/>
              </w:rPr>
              <w:t>μs</w:t>
            </w:r>
          </w:p>
        </w:tc>
      </w:tr>
      <w:tr w14:paraId="6F1663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24" w:type="pct"/>
            <w:vAlign w:val="center"/>
          </w:tcPr>
          <w:p w14:paraId="0F021DD3">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45</w:t>
            </w:r>
          </w:p>
        </w:tc>
        <w:tc>
          <w:tcPr>
            <w:tcW w:w="2272" w:type="pct"/>
            <w:vAlign w:val="center"/>
          </w:tcPr>
          <w:p w14:paraId="01A5C0A1">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垂直极化短脉冲宽度</w:t>
            </w:r>
          </w:p>
        </w:tc>
        <w:tc>
          <w:tcPr>
            <w:tcW w:w="2202" w:type="pct"/>
            <w:vAlign w:val="center"/>
          </w:tcPr>
          <w:p w14:paraId="1C91F66C">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单位：</w:t>
            </w:r>
            <w:r>
              <w:rPr>
                <w:rFonts w:ascii="Times New Roman" w:hAnsi="Times New Roman"/>
                <w:color w:val="auto"/>
                <w:sz w:val="24"/>
                <w:szCs w:val="24"/>
                <w:highlight w:val="none"/>
              </w:rPr>
              <w:t>μs</w:t>
            </w:r>
          </w:p>
        </w:tc>
      </w:tr>
      <w:tr w14:paraId="184ADE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24" w:type="pct"/>
            <w:vAlign w:val="center"/>
          </w:tcPr>
          <w:p w14:paraId="66648E49">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46</w:t>
            </w:r>
          </w:p>
        </w:tc>
        <w:tc>
          <w:tcPr>
            <w:tcW w:w="2272" w:type="pct"/>
            <w:vAlign w:val="center"/>
          </w:tcPr>
          <w:p w14:paraId="1EC6CCC0">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垂直极化中脉冲宽度</w:t>
            </w:r>
          </w:p>
        </w:tc>
        <w:tc>
          <w:tcPr>
            <w:tcW w:w="2202" w:type="pct"/>
            <w:vAlign w:val="center"/>
          </w:tcPr>
          <w:p w14:paraId="6D1F127A">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单位：</w:t>
            </w:r>
            <w:r>
              <w:rPr>
                <w:rFonts w:ascii="Times New Roman" w:hAnsi="Times New Roman"/>
                <w:color w:val="auto"/>
                <w:sz w:val="24"/>
                <w:szCs w:val="24"/>
                <w:highlight w:val="none"/>
              </w:rPr>
              <w:t>μs</w:t>
            </w:r>
          </w:p>
        </w:tc>
      </w:tr>
      <w:tr w14:paraId="2317B9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24" w:type="pct"/>
            <w:vAlign w:val="center"/>
          </w:tcPr>
          <w:p w14:paraId="3979A038">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47</w:t>
            </w:r>
          </w:p>
        </w:tc>
        <w:tc>
          <w:tcPr>
            <w:tcW w:w="2272" w:type="pct"/>
            <w:vAlign w:val="center"/>
          </w:tcPr>
          <w:p w14:paraId="14C2D0C6">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垂直极化长脉冲宽度</w:t>
            </w:r>
          </w:p>
        </w:tc>
        <w:tc>
          <w:tcPr>
            <w:tcW w:w="2202" w:type="pct"/>
            <w:vAlign w:val="center"/>
          </w:tcPr>
          <w:p w14:paraId="589A3A78">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单位：</w:t>
            </w:r>
            <w:r>
              <w:rPr>
                <w:rFonts w:ascii="Times New Roman" w:hAnsi="Times New Roman"/>
                <w:color w:val="auto"/>
                <w:sz w:val="24"/>
                <w:szCs w:val="24"/>
                <w:highlight w:val="none"/>
              </w:rPr>
              <w:t>μs</w:t>
            </w:r>
          </w:p>
        </w:tc>
      </w:tr>
      <w:tr w14:paraId="270470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24" w:type="pct"/>
            <w:vAlign w:val="center"/>
          </w:tcPr>
          <w:p w14:paraId="24229D51">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48</w:t>
            </w:r>
          </w:p>
        </w:tc>
        <w:tc>
          <w:tcPr>
            <w:tcW w:w="2272" w:type="pct"/>
            <w:vAlign w:val="center"/>
          </w:tcPr>
          <w:p w14:paraId="44E67866">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水平极化短脉冲噪声系数</w:t>
            </w:r>
          </w:p>
        </w:tc>
        <w:tc>
          <w:tcPr>
            <w:tcW w:w="2202" w:type="pct"/>
            <w:vAlign w:val="center"/>
          </w:tcPr>
          <w:p w14:paraId="53CB42F6">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单位：</w:t>
            </w:r>
            <w:r>
              <w:rPr>
                <w:rFonts w:ascii="Times New Roman" w:hAnsi="Times New Roman"/>
                <w:color w:val="auto"/>
                <w:sz w:val="24"/>
                <w:szCs w:val="24"/>
                <w:highlight w:val="none"/>
              </w:rPr>
              <w:t>dB</w:t>
            </w:r>
          </w:p>
        </w:tc>
      </w:tr>
      <w:tr w14:paraId="6562B8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24" w:type="pct"/>
            <w:vAlign w:val="center"/>
          </w:tcPr>
          <w:p w14:paraId="7ACDA335">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49</w:t>
            </w:r>
          </w:p>
        </w:tc>
        <w:tc>
          <w:tcPr>
            <w:tcW w:w="2272" w:type="pct"/>
            <w:vAlign w:val="center"/>
          </w:tcPr>
          <w:p w14:paraId="7DB8224E">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水平极化中脉冲噪声系数</w:t>
            </w:r>
          </w:p>
        </w:tc>
        <w:tc>
          <w:tcPr>
            <w:tcW w:w="2202" w:type="pct"/>
            <w:vAlign w:val="center"/>
          </w:tcPr>
          <w:p w14:paraId="0918DD39">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单位：</w:t>
            </w:r>
            <w:r>
              <w:rPr>
                <w:rFonts w:ascii="Times New Roman" w:hAnsi="Times New Roman"/>
                <w:color w:val="auto"/>
                <w:sz w:val="24"/>
                <w:szCs w:val="24"/>
                <w:highlight w:val="none"/>
              </w:rPr>
              <w:t>dB</w:t>
            </w:r>
          </w:p>
        </w:tc>
      </w:tr>
      <w:tr w14:paraId="36AAC1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24" w:type="pct"/>
            <w:vAlign w:val="center"/>
          </w:tcPr>
          <w:p w14:paraId="2102B7D0">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50</w:t>
            </w:r>
          </w:p>
        </w:tc>
        <w:tc>
          <w:tcPr>
            <w:tcW w:w="2272" w:type="pct"/>
            <w:vAlign w:val="center"/>
          </w:tcPr>
          <w:p w14:paraId="7E385C38">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水平极化长脉冲噪声系数</w:t>
            </w:r>
          </w:p>
        </w:tc>
        <w:tc>
          <w:tcPr>
            <w:tcW w:w="2202" w:type="pct"/>
            <w:vAlign w:val="center"/>
          </w:tcPr>
          <w:p w14:paraId="4425DBD5">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单位：</w:t>
            </w:r>
            <w:r>
              <w:rPr>
                <w:rFonts w:ascii="Times New Roman" w:hAnsi="Times New Roman"/>
                <w:color w:val="auto"/>
                <w:sz w:val="24"/>
                <w:szCs w:val="24"/>
                <w:highlight w:val="none"/>
              </w:rPr>
              <w:t>dB</w:t>
            </w:r>
          </w:p>
        </w:tc>
      </w:tr>
      <w:tr w14:paraId="080911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524" w:type="pct"/>
            <w:vAlign w:val="center"/>
          </w:tcPr>
          <w:p w14:paraId="045651A6">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51</w:t>
            </w:r>
          </w:p>
        </w:tc>
        <w:tc>
          <w:tcPr>
            <w:tcW w:w="2272" w:type="pct"/>
            <w:vAlign w:val="center"/>
          </w:tcPr>
          <w:p w14:paraId="082671A8">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垂直极化短脉冲噪声系数</w:t>
            </w:r>
          </w:p>
        </w:tc>
        <w:tc>
          <w:tcPr>
            <w:tcW w:w="2202" w:type="pct"/>
            <w:vAlign w:val="center"/>
          </w:tcPr>
          <w:p w14:paraId="4C3DD3E6">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单位：</w:t>
            </w:r>
            <w:r>
              <w:rPr>
                <w:rFonts w:ascii="Times New Roman" w:hAnsi="Times New Roman"/>
                <w:color w:val="auto"/>
                <w:sz w:val="24"/>
                <w:szCs w:val="24"/>
                <w:highlight w:val="none"/>
              </w:rPr>
              <w:t>dB</w:t>
            </w:r>
          </w:p>
        </w:tc>
      </w:tr>
      <w:tr w14:paraId="3C432F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24" w:type="pct"/>
            <w:vAlign w:val="center"/>
          </w:tcPr>
          <w:p w14:paraId="33729625">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52</w:t>
            </w:r>
          </w:p>
        </w:tc>
        <w:tc>
          <w:tcPr>
            <w:tcW w:w="2272" w:type="pct"/>
            <w:vAlign w:val="center"/>
          </w:tcPr>
          <w:p w14:paraId="724FE297">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垂直极化中脉冲噪声系数</w:t>
            </w:r>
          </w:p>
        </w:tc>
        <w:tc>
          <w:tcPr>
            <w:tcW w:w="2202" w:type="pct"/>
            <w:vAlign w:val="center"/>
          </w:tcPr>
          <w:p w14:paraId="242C005B">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单位：</w:t>
            </w:r>
            <w:r>
              <w:rPr>
                <w:rFonts w:ascii="Times New Roman" w:hAnsi="Times New Roman"/>
                <w:color w:val="auto"/>
                <w:sz w:val="24"/>
                <w:szCs w:val="24"/>
                <w:highlight w:val="none"/>
              </w:rPr>
              <w:t>dB</w:t>
            </w:r>
          </w:p>
        </w:tc>
      </w:tr>
      <w:tr w14:paraId="4591A2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24" w:type="pct"/>
            <w:vAlign w:val="center"/>
          </w:tcPr>
          <w:p w14:paraId="45C2C694">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53</w:t>
            </w:r>
          </w:p>
        </w:tc>
        <w:tc>
          <w:tcPr>
            <w:tcW w:w="2272" w:type="pct"/>
            <w:vAlign w:val="center"/>
          </w:tcPr>
          <w:p w14:paraId="10BBE7B2">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垂直极化长脉冲噪声系数</w:t>
            </w:r>
          </w:p>
        </w:tc>
        <w:tc>
          <w:tcPr>
            <w:tcW w:w="2202" w:type="pct"/>
            <w:vAlign w:val="center"/>
          </w:tcPr>
          <w:p w14:paraId="70D38441">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单位：</w:t>
            </w:r>
            <w:r>
              <w:rPr>
                <w:rFonts w:ascii="Times New Roman" w:hAnsi="Times New Roman"/>
                <w:color w:val="auto"/>
                <w:sz w:val="24"/>
                <w:szCs w:val="24"/>
                <w:highlight w:val="none"/>
              </w:rPr>
              <w:t>dB</w:t>
            </w:r>
          </w:p>
        </w:tc>
      </w:tr>
      <w:tr w14:paraId="097380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24" w:type="pct"/>
            <w:vAlign w:val="center"/>
          </w:tcPr>
          <w:p w14:paraId="3280811E">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54</w:t>
            </w:r>
          </w:p>
        </w:tc>
        <w:tc>
          <w:tcPr>
            <w:tcW w:w="2272" w:type="pct"/>
            <w:vAlign w:val="center"/>
          </w:tcPr>
          <w:p w14:paraId="66E0DC7E">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反射率因子期望值</w:t>
            </w:r>
          </w:p>
        </w:tc>
        <w:tc>
          <w:tcPr>
            <w:tcW w:w="2202" w:type="pct"/>
            <w:vAlign w:val="center"/>
          </w:tcPr>
          <w:p w14:paraId="57289114">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单位：</w:t>
            </w:r>
            <w:r>
              <w:rPr>
                <w:rFonts w:ascii="Times New Roman" w:hAnsi="Times New Roman"/>
                <w:color w:val="auto"/>
                <w:sz w:val="24"/>
                <w:szCs w:val="24"/>
                <w:highlight w:val="none"/>
              </w:rPr>
              <w:t>dBZ</w:t>
            </w:r>
          </w:p>
        </w:tc>
      </w:tr>
      <w:tr w14:paraId="6FA497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24" w:type="pct"/>
            <w:vAlign w:val="center"/>
          </w:tcPr>
          <w:p w14:paraId="5B79BD8E">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55</w:t>
            </w:r>
          </w:p>
        </w:tc>
        <w:tc>
          <w:tcPr>
            <w:tcW w:w="2272" w:type="pct"/>
            <w:vAlign w:val="center"/>
          </w:tcPr>
          <w:p w14:paraId="00D149E1">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反射率因子测量值</w:t>
            </w:r>
          </w:p>
        </w:tc>
        <w:tc>
          <w:tcPr>
            <w:tcW w:w="2202" w:type="pct"/>
            <w:vAlign w:val="center"/>
          </w:tcPr>
          <w:p w14:paraId="36A819D4">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单位：</w:t>
            </w:r>
            <w:r>
              <w:rPr>
                <w:rFonts w:ascii="Times New Roman" w:hAnsi="Times New Roman"/>
                <w:color w:val="auto"/>
                <w:sz w:val="24"/>
                <w:szCs w:val="24"/>
                <w:highlight w:val="none"/>
              </w:rPr>
              <w:t>dBZ</w:t>
            </w:r>
          </w:p>
        </w:tc>
      </w:tr>
      <w:tr w14:paraId="2C0C1D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24" w:type="pct"/>
            <w:vAlign w:val="center"/>
          </w:tcPr>
          <w:p w14:paraId="7CAB6AE5">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56</w:t>
            </w:r>
          </w:p>
        </w:tc>
        <w:tc>
          <w:tcPr>
            <w:tcW w:w="2272" w:type="pct"/>
            <w:vAlign w:val="center"/>
          </w:tcPr>
          <w:p w14:paraId="17C3A7D8">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速度期望值</w:t>
            </w:r>
          </w:p>
        </w:tc>
        <w:tc>
          <w:tcPr>
            <w:tcW w:w="2202" w:type="pct"/>
            <w:vAlign w:val="center"/>
          </w:tcPr>
          <w:p w14:paraId="75766483">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单位：</w:t>
            </w:r>
            <w:r>
              <w:rPr>
                <w:rFonts w:ascii="Times New Roman" w:hAnsi="Times New Roman"/>
                <w:color w:val="auto"/>
                <w:sz w:val="24"/>
                <w:szCs w:val="24"/>
                <w:highlight w:val="none"/>
              </w:rPr>
              <w:t>m/s</w:t>
            </w:r>
          </w:p>
        </w:tc>
      </w:tr>
      <w:tr w14:paraId="4EED5C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24" w:type="pct"/>
            <w:vAlign w:val="center"/>
          </w:tcPr>
          <w:p w14:paraId="48F88927">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57</w:t>
            </w:r>
          </w:p>
        </w:tc>
        <w:tc>
          <w:tcPr>
            <w:tcW w:w="2272" w:type="pct"/>
            <w:vAlign w:val="center"/>
          </w:tcPr>
          <w:p w14:paraId="7082DEA9">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速度测量值</w:t>
            </w:r>
          </w:p>
        </w:tc>
        <w:tc>
          <w:tcPr>
            <w:tcW w:w="2202" w:type="pct"/>
            <w:vAlign w:val="center"/>
          </w:tcPr>
          <w:p w14:paraId="35B9EE15">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单位：</w:t>
            </w:r>
            <w:r>
              <w:rPr>
                <w:rFonts w:ascii="Times New Roman" w:hAnsi="Times New Roman"/>
                <w:color w:val="auto"/>
                <w:sz w:val="24"/>
                <w:szCs w:val="24"/>
                <w:highlight w:val="none"/>
              </w:rPr>
              <w:t>m/s</w:t>
            </w:r>
          </w:p>
        </w:tc>
      </w:tr>
      <w:tr w14:paraId="3183D2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24" w:type="pct"/>
            <w:vAlign w:val="center"/>
          </w:tcPr>
          <w:p w14:paraId="6A827A53">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58</w:t>
            </w:r>
          </w:p>
        </w:tc>
        <w:tc>
          <w:tcPr>
            <w:tcW w:w="2272" w:type="pct"/>
            <w:vAlign w:val="center"/>
          </w:tcPr>
          <w:p w14:paraId="36C1E4AB">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谱宽期望值</w:t>
            </w:r>
          </w:p>
        </w:tc>
        <w:tc>
          <w:tcPr>
            <w:tcW w:w="2202" w:type="pct"/>
            <w:vAlign w:val="center"/>
          </w:tcPr>
          <w:p w14:paraId="1A234EBE">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单位：</w:t>
            </w:r>
            <w:r>
              <w:rPr>
                <w:rFonts w:ascii="Times New Roman" w:hAnsi="Times New Roman"/>
                <w:color w:val="auto"/>
                <w:sz w:val="24"/>
                <w:szCs w:val="24"/>
                <w:highlight w:val="none"/>
              </w:rPr>
              <w:t>m/s</w:t>
            </w:r>
          </w:p>
        </w:tc>
      </w:tr>
      <w:tr w14:paraId="444A75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524" w:type="pct"/>
            <w:vAlign w:val="center"/>
          </w:tcPr>
          <w:p w14:paraId="33E06FCE">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59</w:t>
            </w:r>
          </w:p>
        </w:tc>
        <w:tc>
          <w:tcPr>
            <w:tcW w:w="2272" w:type="pct"/>
            <w:vAlign w:val="center"/>
          </w:tcPr>
          <w:p w14:paraId="436BB847">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谱宽测量值</w:t>
            </w:r>
          </w:p>
        </w:tc>
        <w:tc>
          <w:tcPr>
            <w:tcW w:w="2202" w:type="pct"/>
            <w:vAlign w:val="center"/>
          </w:tcPr>
          <w:p w14:paraId="4ED9F259">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单位：</w:t>
            </w:r>
            <w:r>
              <w:rPr>
                <w:rFonts w:ascii="Times New Roman" w:hAnsi="Times New Roman"/>
                <w:color w:val="auto"/>
                <w:sz w:val="24"/>
                <w:szCs w:val="24"/>
                <w:highlight w:val="none"/>
              </w:rPr>
              <w:t>m/s</w:t>
            </w:r>
          </w:p>
        </w:tc>
      </w:tr>
      <w:tr w14:paraId="209742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524" w:type="pct"/>
            <w:vAlign w:val="center"/>
          </w:tcPr>
          <w:p w14:paraId="38F66755">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60</w:t>
            </w:r>
          </w:p>
        </w:tc>
        <w:tc>
          <w:tcPr>
            <w:tcW w:w="2272" w:type="pct"/>
            <w:vAlign w:val="center"/>
          </w:tcPr>
          <w:p w14:paraId="14C6A2C3">
            <w:pPr>
              <w:widowControl/>
              <w:spacing w:line="360" w:lineRule="auto"/>
              <w:ind w:left="105" w:leftChars="50"/>
              <w:rPr>
                <w:rFonts w:ascii="Times New Roman" w:hAnsi="Times New Roman"/>
                <w:color w:val="auto"/>
                <w:sz w:val="24"/>
                <w:szCs w:val="24"/>
                <w:highlight w:val="none"/>
              </w:rPr>
            </w:pPr>
            <w:r>
              <w:rPr>
                <w:rFonts w:ascii="Times New Roman" w:hAnsi="Times New Roman"/>
                <w:snapToGrid w:val="0"/>
                <w:color w:val="auto"/>
                <w:kern w:val="0"/>
                <w:sz w:val="24"/>
                <w:szCs w:val="24"/>
                <w:highlight w:val="none"/>
                <w:lang w:bidi="ar"/>
              </w:rPr>
              <w:t>ZDR</w:t>
            </w:r>
            <w:r>
              <w:rPr>
                <w:rFonts w:hint="eastAsia" w:ascii="Times New Roman" w:hAnsi="Times New Roman"/>
                <w:color w:val="auto"/>
                <w:sz w:val="24"/>
                <w:szCs w:val="24"/>
                <w:highlight w:val="none"/>
              </w:rPr>
              <w:t>标定值</w:t>
            </w:r>
          </w:p>
        </w:tc>
        <w:tc>
          <w:tcPr>
            <w:tcW w:w="2202" w:type="pct"/>
            <w:vAlign w:val="center"/>
          </w:tcPr>
          <w:p w14:paraId="390C25B9">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单位：</w:t>
            </w:r>
            <w:r>
              <w:rPr>
                <w:rFonts w:ascii="Times New Roman" w:hAnsi="Times New Roman"/>
                <w:color w:val="auto"/>
                <w:sz w:val="24"/>
                <w:szCs w:val="24"/>
                <w:highlight w:val="none"/>
              </w:rPr>
              <w:t>dB</w:t>
            </w:r>
          </w:p>
        </w:tc>
      </w:tr>
      <w:tr w14:paraId="43BA06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524" w:type="pct"/>
            <w:vAlign w:val="center"/>
          </w:tcPr>
          <w:p w14:paraId="11719537">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61</w:t>
            </w:r>
          </w:p>
        </w:tc>
        <w:tc>
          <w:tcPr>
            <w:tcW w:w="2272" w:type="pct"/>
            <w:vAlign w:val="center"/>
          </w:tcPr>
          <w:p w14:paraId="5195F0D3">
            <w:pPr>
              <w:widowControl/>
              <w:spacing w:line="360" w:lineRule="auto"/>
              <w:ind w:left="105" w:leftChars="50"/>
              <w:rPr>
                <w:rFonts w:ascii="Times New Roman" w:hAnsi="Times New Roman"/>
                <w:color w:val="auto"/>
                <w:sz w:val="24"/>
                <w:szCs w:val="24"/>
                <w:highlight w:val="none"/>
              </w:rPr>
            </w:pPr>
            <w:r>
              <w:rPr>
                <w:rFonts w:ascii="Times New Roman" w:hAnsi="Times New Roman"/>
                <w:snapToGrid w:val="0"/>
                <w:color w:val="auto"/>
                <w:kern w:val="0"/>
                <w:sz w:val="24"/>
                <w:szCs w:val="24"/>
                <w:highlight w:val="none"/>
                <w:lang w:bidi="ar"/>
              </w:rPr>
              <w:t>ΦDP</w:t>
            </w:r>
            <w:r>
              <w:rPr>
                <w:rFonts w:hint="eastAsia" w:ascii="Times New Roman" w:hAnsi="Times New Roman"/>
                <w:color w:val="auto"/>
                <w:sz w:val="24"/>
                <w:szCs w:val="24"/>
                <w:highlight w:val="none"/>
              </w:rPr>
              <w:t>标定值</w:t>
            </w:r>
          </w:p>
        </w:tc>
        <w:tc>
          <w:tcPr>
            <w:tcW w:w="2202" w:type="pct"/>
            <w:vAlign w:val="center"/>
          </w:tcPr>
          <w:p w14:paraId="4640567C">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单位：</w:t>
            </w:r>
            <w:r>
              <w:rPr>
                <w:rFonts w:ascii="Times New Roman" w:hAnsi="Times New Roman"/>
                <w:color w:val="auto"/>
                <w:sz w:val="24"/>
                <w:szCs w:val="24"/>
                <w:highlight w:val="none"/>
              </w:rPr>
              <w:t>°</w:t>
            </w:r>
          </w:p>
        </w:tc>
      </w:tr>
      <w:tr w14:paraId="5DF59A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24" w:type="pct"/>
            <w:vAlign w:val="center"/>
          </w:tcPr>
          <w:p w14:paraId="35BF8883">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62</w:t>
            </w:r>
          </w:p>
        </w:tc>
        <w:tc>
          <w:tcPr>
            <w:tcW w:w="2272" w:type="pct"/>
            <w:vAlign w:val="center"/>
          </w:tcPr>
          <w:p w14:paraId="7B56BE10">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短脉冲系统标定常数</w:t>
            </w:r>
          </w:p>
        </w:tc>
        <w:tc>
          <w:tcPr>
            <w:tcW w:w="2202" w:type="pct"/>
            <w:vAlign w:val="center"/>
          </w:tcPr>
          <w:p w14:paraId="6D4B0397">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单位：</w:t>
            </w:r>
            <w:r>
              <w:rPr>
                <w:rFonts w:ascii="Times New Roman" w:hAnsi="Times New Roman"/>
                <w:color w:val="auto"/>
                <w:sz w:val="24"/>
                <w:szCs w:val="24"/>
                <w:highlight w:val="none"/>
              </w:rPr>
              <w:t>dB</w:t>
            </w:r>
          </w:p>
        </w:tc>
      </w:tr>
      <w:tr w14:paraId="6A110D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24" w:type="pct"/>
            <w:vAlign w:val="center"/>
          </w:tcPr>
          <w:p w14:paraId="4D920636">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63</w:t>
            </w:r>
          </w:p>
        </w:tc>
        <w:tc>
          <w:tcPr>
            <w:tcW w:w="2272" w:type="pct"/>
            <w:vAlign w:val="center"/>
          </w:tcPr>
          <w:p w14:paraId="4C2582A0">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中脉冲系统标定常数</w:t>
            </w:r>
          </w:p>
        </w:tc>
        <w:tc>
          <w:tcPr>
            <w:tcW w:w="2202" w:type="pct"/>
            <w:vAlign w:val="center"/>
          </w:tcPr>
          <w:p w14:paraId="6547E737">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单位：</w:t>
            </w:r>
            <w:r>
              <w:rPr>
                <w:rFonts w:ascii="Times New Roman" w:hAnsi="Times New Roman"/>
                <w:color w:val="auto"/>
                <w:sz w:val="24"/>
                <w:szCs w:val="24"/>
                <w:highlight w:val="none"/>
              </w:rPr>
              <w:t>dB</w:t>
            </w:r>
          </w:p>
        </w:tc>
      </w:tr>
      <w:tr w14:paraId="306A3E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24" w:type="pct"/>
            <w:vAlign w:val="center"/>
          </w:tcPr>
          <w:p w14:paraId="219A7D01">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64</w:t>
            </w:r>
          </w:p>
        </w:tc>
        <w:tc>
          <w:tcPr>
            <w:tcW w:w="2272" w:type="pct"/>
            <w:vAlign w:val="center"/>
          </w:tcPr>
          <w:p w14:paraId="5A8D7C21">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长脉冲系统标定常数</w:t>
            </w:r>
          </w:p>
        </w:tc>
        <w:tc>
          <w:tcPr>
            <w:tcW w:w="2202" w:type="pct"/>
            <w:vAlign w:val="center"/>
          </w:tcPr>
          <w:p w14:paraId="17CACAC7">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单位：</w:t>
            </w:r>
            <w:r>
              <w:rPr>
                <w:rFonts w:ascii="Times New Roman" w:hAnsi="Times New Roman"/>
                <w:color w:val="auto"/>
                <w:sz w:val="24"/>
                <w:szCs w:val="24"/>
                <w:highlight w:val="none"/>
              </w:rPr>
              <w:t>dB</w:t>
            </w:r>
          </w:p>
        </w:tc>
      </w:tr>
      <w:tr w14:paraId="0BF9D4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24" w:type="pct"/>
            <w:vAlign w:val="center"/>
          </w:tcPr>
          <w:p w14:paraId="3ABB9077">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65</w:t>
            </w:r>
          </w:p>
        </w:tc>
        <w:tc>
          <w:tcPr>
            <w:tcW w:w="2272" w:type="pct"/>
            <w:vAlign w:val="center"/>
          </w:tcPr>
          <w:p w14:paraId="29BEEB2D">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其他脉冲宽度系统标定常数</w:t>
            </w:r>
          </w:p>
        </w:tc>
        <w:tc>
          <w:tcPr>
            <w:tcW w:w="2202" w:type="pct"/>
            <w:vAlign w:val="center"/>
          </w:tcPr>
          <w:p w14:paraId="1DCD4723">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单位：</w:t>
            </w:r>
            <w:r>
              <w:rPr>
                <w:rFonts w:ascii="Times New Roman" w:hAnsi="Times New Roman"/>
                <w:color w:val="auto"/>
                <w:sz w:val="24"/>
                <w:szCs w:val="24"/>
                <w:highlight w:val="none"/>
              </w:rPr>
              <w:t>dB</w:t>
            </w:r>
          </w:p>
        </w:tc>
      </w:tr>
      <w:tr w14:paraId="1CCA41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24" w:type="pct"/>
            <w:vAlign w:val="center"/>
          </w:tcPr>
          <w:p w14:paraId="6AB4B8B6">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66</w:t>
            </w:r>
          </w:p>
        </w:tc>
        <w:tc>
          <w:tcPr>
            <w:tcW w:w="2272" w:type="pct"/>
            <w:vAlign w:val="center"/>
          </w:tcPr>
          <w:p w14:paraId="71D2099D">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各发射单元幅度</w:t>
            </w:r>
          </w:p>
        </w:tc>
        <w:tc>
          <w:tcPr>
            <w:tcW w:w="2202" w:type="pct"/>
            <w:vAlign w:val="center"/>
          </w:tcPr>
          <w:p w14:paraId="6FF3CF4B">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单位：</w:t>
            </w:r>
            <w:r>
              <w:rPr>
                <w:rFonts w:ascii="Times New Roman" w:hAnsi="Times New Roman"/>
                <w:color w:val="auto"/>
                <w:sz w:val="24"/>
                <w:szCs w:val="24"/>
                <w:highlight w:val="none"/>
              </w:rPr>
              <w:t>dB</w:t>
            </w:r>
          </w:p>
        </w:tc>
      </w:tr>
      <w:tr w14:paraId="39B0E7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24" w:type="pct"/>
            <w:vAlign w:val="center"/>
          </w:tcPr>
          <w:p w14:paraId="7AAE4E61">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67</w:t>
            </w:r>
          </w:p>
        </w:tc>
        <w:tc>
          <w:tcPr>
            <w:tcW w:w="2272" w:type="pct"/>
            <w:vAlign w:val="center"/>
          </w:tcPr>
          <w:p w14:paraId="19FB6691">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各发射单元相位</w:t>
            </w:r>
          </w:p>
        </w:tc>
        <w:tc>
          <w:tcPr>
            <w:tcW w:w="2202" w:type="pct"/>
            <w:vAlign w:val="center"/>
          </w:tcPr>
          <w:p w14:paraId="48FD506D">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单位：°</w:t>
            </w:r>
          </w:p>
        </w:tc>
      </w:tr>
      <w:tr w14:paraId="6652F5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24" w:type="pct"/>
            <w:vAlign w:val="center"/>
          </w:tcPr>
          <w:p w14:paraId="709B7036">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68</w:t>
            </w:r>
          </w:p>
        </w:tc>
        <w:tc>
          <w:tcPr>
            <w:tcW w:w="2272" w:type="pct"/>
            <w:vAlign w:val="center"/>
          </w:tcPr>
          <w:p w14:paraId="29E2DE0A">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各接收单元幅度</w:t>
            </w:r>
          </w:p>
        </w:tc>
        <w:tc>
          <w:tcPr>
            <w:tcW w:w="2202" w:type="pct"/>
            <w:vAlign w:val="center"/>
          </w:tcPr>
          <w:p w14:paraId="37DA28E8">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单位：</w:t>
            </w:r>
            <w:r>
              <w:rPr>
                <w:rFonts w:ascii="Times New Roman" w:hAnsi="Times New Roman"/>
                <w:color w:val="auto"/>
                <w:sz w:val="24"/>
                <w:szCs w:val="24"/>
                <w:highlight w:val="none"/>
              </w:rPr>
              <w:t>dB</w:t>
            </w:r>
          </w:p>
        </w:tc>
      </w:tr>
      <w:tr w14:paraId="4EED69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24" w:type="pct"/>
            <w:vAlign w:val="center"/>
          </w:tcPr>
          <w:p w14:paraId="329BA27B">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69</w:t>
            </w:r>
          </w:p>
        </w:tc>
        <w:tc>
          <w:tcPr>
            <w:tcW w:w="2272" w:type="pct"/>
            <w:vAlign w:val="center"/>
          </w:tcPr>
          <w:p w14:paraId="2EDEE34B">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各接收单元相位</w:t>
            </w:r>
          </w:p>
        </w:tc>
        <w:tc>
          <w:tcPr>
            <w:tcW w:w="2202" w:type="pct"/>
            <w:vAlign w:val="center"/>
          </w:tcPr>
          <w:p w14:paraId="6B5B8BD8">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单位：°</w:t>
            </w:r>
          </w:p>
        </w:tc>
      </w:tr>
      <w:tr w14:paraId="77AFFF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24" w:type="pct"/>
            <w:vAlign w:val="center"/>
          </w:tcPr>
          <w:p w14:paraId="19664E3A">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70</w:t>
            </w:r>
          </w:p>
        </w:tc>
        <w:tc>
          <w:tcPr>
            <w:tcW w:w="2272" w:type="pct"/>
            <w:vAlign w:val="center"/>
          </w:tcPr>
          <w:p w14:paraId="32C55E56">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水平极化系统发射功率</w:t>
            </w:r>
          </w:p>
        </w:tc>
        <w:tc>
          <w:tcPr>
            <w:tcW w:w="2202" w:type="pct"/>
            <w:vAlign w:val="center"/>
          </w:tcPr>
          <w:p w14:paraId="374AF95B">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单位：</w:t>
            </w:r>
            <w:r>
              <w:rPr>
                <w:rFonts w:ascii="Times New Roman" w:hAnsi="Times New Roman"/>
                <w:color w:val="auto"/>
                <w:sz w:val="24"/>
                <w:szCs w:val="24"/>
                <w:highlight w:val="none"/>
              </w:rPr>
              <w:t>W</w:t>
            </w:r>
          </w:p>
        </w:tc>
      </w:tr>
      <w:tr w14:paraId="46A250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24" w:type="pct"/>
            <w:vAlign w:val="center"/>
          </w:tcPr>
          <w:p w14:paraId="5A706238">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71</w:t>
            </w:r>
          </w:p>
        </w:tc>
        <w:tc>
          <w:tcPr>
            <w:tcW w:w="2272" w:type="pct"/>
            <w:vAlign w:val="center"/>
          </w:tcPr>
          <w:p w14:paraId="385BDBC0">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垂直极化系统发射功率</w:t>
            </w:r>
          </w:p>
        </w:tc>
        <w:tc>
          <w:tcPr>
            <w:tcW w:w="2202" w:type="pct"/>
            <w:vAlign w:val="center"/>
          </w:tcPr>
          <w:p w14:paraId="32054795">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单位：</w:t>
            </w:r>
            <w:r>
              <w:rPr>
                <w:rFonts w:ascii="Times New Roman" w:hAnsi="Times New Roman"/>
                <w:color w:val="auto"/>
                <w:sz w:val="24"/>
                <w:szCs w:val="24"/>
                <w:highlight w:val="none"/>
              </w:rPr>
              <w:t>W</w:t>
            </w:r>
          </w:p>
        </w:tc>
      </w:tr>
      <w:tr w14:paraId="5E90E1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24" w:type="pct"/>
            <w:vAlign w:val="center"/>
          </w:tcPr>
          <w:p w14:paraId="4D9CC6DF">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72</w:t>
            </w:r>
          </w:p>
        </w:tc>
        <w:tc>
          <w:tcPr>
            <w:tcW w:w="2272" w:type="pct"/>
            <w:vAlign w:val="center"/>
          </w:tcPr>
          <w:p w14:paraId="445C6960">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水平极化系统接收增益</w:t>
            </w:r>
          </w:p>
        </w:tc>
        <w:tc>
          <w:tcPr>
            <w:tcW w:w="2202" w:type="pct"/>
            <w:vAlign w:val="center"/>
          </w:tcPr>
          <w:p w14:paraId="5C06F9B9">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单位：</w:t>
            </w:r>
            <w:r>
              <w:rPr>
                <w:rFonts w:ascii="Times New Roman" w:hAnsi="Times New Roman"/>
                <w:color w:val="auto"/>
                <w:sz w:val="24"/>
                <w:szCs w:val="24"/>
                <w:highlight w:val="none"/>
              </w:rPr>
              <w:t>dB</w:t>
            </w:r>
          </w:p>
        </w:tc>
      </w:tr>
      <w:tr w14:paraId="3B6728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524" w:type="pct"/>
            <w:vAlign w:val="center"/>
          </w:tcPr>
          <w:p w14:paraId="5C1E6B2E">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73</w:t>
            </w:r>
          </w:p>
        </w:tc>
        <w:tc>
          <w:tcPr>
            <w:tcW w:w="2272" w:type="pct"/>
            <w:vAlign w:val="center"/>
          </w:tcPr>
          <w:p w14:paraId="49EF3D77">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垂直极化系统接收增益</w:t>
            </w:r>
          </w:p>
        </w:tc>
        <w:tc>
          <w:tcPr>
            <w:tcW w:w="2202" w:type="pct"/>
            <w:vAlign w:val="center"/>
          </w:tcPr>
          <w:p w14:paraId="69D53921">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单位：</w:t>
            </w:r>
            <w:r>
              <w:rPr>
                <w:rFonts w:ascii="Times New Roman" w:hAnsi="Times New Roman"/>
                <w:color w:val="auto"/>
                <w:sz w:val="24"/>
                <w:szCs w:val="24"/>
                <w:highlight w:val="none"/>
              </w:rPr>
              <w:t>dB</w:t>
            </w:r>
          </w:p>
        </w:tc>
      </w:tr>
      <w:tr w14:paraId="06E4E2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24" w:type="pct"/>
            <w:vAlign w:val="center"/>
          </w:tcPr>
          <w:p w14:paraId="34CD02A2">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74</w:t>
            </w:r>
          </w:p>
        </w:tc>
        <w:tc>
          <w:tcPr>
            <w:tcW w:w="2272" w:type="pct"/>
            <w:vAlign w:val="center"/>
          </w:tcPr>
          <w:p w14:paraId="23ADC6E5">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各水平极化单元相位噪声</w:t>
            </w:r>
          </w:p>
        </w:tc>
        <w:tc>
          <w:tcPr>
            <w:tcW w:w="2202" w:type="pct"/>
            <w:vAlign w:val="center"/>
          </w:tcPr>
          <w:p w14:paraId="47C2340E">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单位：°</w:t>
            </w:r>
          </w:p>
        </w:tc>
      </w:tr>
      <w:tr w14:paraId="0181EA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24" w:type="pct"/>
            <w:vAlign w:val="center"/>
          </w:tcPr>
          <w:p w14:paraId="6E9FAB68">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75</w:t>
            </w:r>
          </w:p>
        </w:tc>
        <w:tc>
          <w:tcPr>
            <w:tcW w:w="2272" w:type="pct"/>
            <w:vAlign w:val="center"/>
          </w:tcPr>
          <w:p w14:paraId="65AA9649">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各垂直极化单元相位噪声</w:t>
            </w:r>
          </w:p>
        </w:tc>
        <w:tc>
          <w:tcPr>
            <w:tcW w:w="2202" w:type="pct"/>
            <w:vAlign w:val="center"/>
          </w:tcPr>
          <w:p w14:paraId="0B3F2A76">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单位：°</w:t>
            </w:r>
          </w:p>
        </w:tc>
      </w:tr>
      <w:tr w14:paraId="4A2661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24" w:type="pct"/>
            <w:vAlign w:val="center"/>
          </w:tcPr>
          <w:p w14:paraId="30199EA2">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76</w:t>
            </w:r>
          </w:p>
        </w:tc>
        <w:tc>
          <w:tcPr>
            <w:tcW w:w="2272" w:type="pct"/>
            <w:vAlign w:val="center"/>
          </w:tcPr>
          <w:p w14:paraId="43DED58B">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各水平极化单元不同脉宽噪声电平</w:t>
            </w:r>
          </w:p>
        </w:tc>
        <w:tc>
          <w:tcPr>
            <w:tcW w:w="2202" w:type="pct"/>
            <w:vAlign w:val="center"/>
          </w:tcPr>
          <w:p w14:paraId="1EB4D06D">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单位：</w:t>
            </w:r>
            <w:r>
              <w:rPr>
                <w:rFonts w:ascii="Times New Roman" w:hAnsi="Times New Roman"/>
                <w:color w:val="auto"/>
                <w:sz w:val="24"/>
                <w:szCs w:val="24"/>
                <w:highlight w:val="none"/>
              </w:rPr>
              <w:t>dB</w:t>
            </w:r>
          </w:p>
        </w:tc>
      </w:tr>
      <w:tr w14:paraId="10DCDE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524" w:type="pct"/>
            <w:vAlign w:val="center"/>
          </w:tcPr>
          <w:p w14:paraId="2261F028">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77</w:t>
            </w:r>
          </w:p>
        </w:tc>
        <w:tc>
          <w:tcPr>
            <w:tcW w:w="2272" w:type="pct"/>
            <w:vAlign w:val="center"/>
          </w:tcPr>
          <w:p w14:paraId="05D41B62">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各垂直极化单元不同脉宽噪声电平</w:t>
            </w:r>
          </w:p>
        </w:tc>
        <w:tc>
          <w:tcPr>
            <w:tcW w:w="2202" w:type="pct"/>
            <w:vAlign w:val="center"/>
          </w:tcPr>
          <w:p w14:paraId="4AADC1FB">
            <w:pPr>
              <w:widowControl/>
              <w:kinsoku w:val="0"/>
              <w:autoSpaceDE w:val="0"/>
              <w:autoSpaceDN w:val="0"/>
              <w:adjustRightInd w:val="0"/>
              <w:snapToGrid w:val="0"/>
              <w:spacing w:line="360" w:lineRule="auto"/>
              <w:ind w:left="105" w:leftChars="5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单位：</w:t>
            </w:r>
            <w:r>
              <w:rPr>
                <w:rFonts w:ascii="Times New Roman" w:hAnsi="Times New Roman"/>
                <w:color w:val="auto"/>
                <w:sz w:val="24"/>
                <w:szCs w:val="24"/>
                <w:highlight w:val="none"/>
              </w:rPr>
              <w:t>dB</w:t>
            </w:r>
          </w:p>
        </w:tc>
      </w:tr>
    </w:tbl>
    <w:p w14:paraId="06AB3AED">
      <w:pPr>
        <w:tabs>
          <w:tab w:val="left" w:pos="2340"/>
        </w:tabs>
        <w:spacing w:line="360" w:lineRule="auto"/>
        <w:ind w:firstLine="482"/>
        <w:rPr>
          <w:rFonts w:ascii="Times New Roman" w:hAnsi="Times New Roman"/>
          <w:b/>
          <w:color w:val="auto"/>
          <w:sz w:val="24"/>
          <w:szCs w:val="24"/>
          <w:highlight w:val="none"/>
        </w:rPr>
      </w:pPr>
      <w:bookmarkStart w:id="457" w:name="bookmark26"/>
      <w:bookmarkEnd w:id="457"/>
      <w:r>
        <w:rPr>
          <w:rFonts w:ascii="Times New Roman" w:hAnsi="Times New Roman"/>
          <w:b/>
          <w:color w:val="auto"/>
          <w:sz w:val="24"/>
          <w:szCs w:val="24"/>
          <w:highlight w:val="none"/>
        </w:rPr>
        <w:t>3.2.1.8</w:t>
      </w:r>
      <w:r>
        <w:rPr>
          <w:rFonts w:hint="eastAsia" w:ascii="Times New Roman" w:hAnsi="Times New Roman"/>
          <w:b/>
          <w:color w:val="auto"/>
          <w:sz w:val="24"/>
          <w:szCs w:val="24"/>
          <w:highlight w:val="none"/>
        </w:rPr>
        <w:t>气象产品要求</w:t>
      </w:r>
    </w:p>
    <w:p w14:paraId="25405BAB">
      <w:pPr>
        <w:tabs>
          <w:tab w:val="left" w:pos="2340"/>
        </w:tabs>
        <w:spacing w:line="360" w:lineRule="auto"/>
        <w:ind w:firstLine="480"/>
        <w:rPr>
          <w:rFonts w:ascii="Times New Roman" w:hAnsi="Times New Roman"/>
          <w:bCs/>
          <w:color w:val="auto"/>
          <w:sz w:val="24"/>
          <w:szCs w:val="24"/>
          <w:highlight w:val="none"/>
        </w:rPr>
      </w:pPr>
      <w:r>
        <w:rPr>
          <w:rFonts w:hint="eastAsia" w:ascii="Times New Roman" w:hAnsi="Times New Roman"/>
          <w:bCs/>
          <w:color w:val="auto"/>
          <w:sz w:val="24"/>
          <w:szCs w:val="24"/>
          <w:highlight w:val="none"/>
        </w:rPr>
        <w:t>（</w:t>
      </w:r>
      <w:r>
        <w:rPr>
          <w:rFonts w:ascii="Times New Roman" w:hAnsi="Times New Roman"/>
          <w:bCs/>
          <w:color w:val="auto"/>
          <w:sz w:val="24"/>
          <w:szCs w:val="24"/>
          <w:highlight w:val="none"/>
        </w:rPr>
        <w:t>1</w:t>
      </w:r>
      <w:r>
        <w:rPr>
          <w:rFonts w:hint="eastAsia" w:ascii="Times New Roman" w:hAnsi="Times New Roman"/>
          <w:bCs/>
          <w:color w:val="auto"/>
          <w:sz w:val="24"/>
          <w:szCs w:val="24"/>
          <w:highlight w:val="none"/>
        </w:rPr>
        <w:t>）数据质量控制</w:t>
      </w:r>
    </w:p>
    <w:p w14:paraId="401EA556">
      <w:pPr>
        <w:tabs>
          <w:tab w:val="left" w:pos="2340"/>
        </w:tabs>
        <w:spacing w:line="360" w:lineRule="auto"/>
        <w:ind w:firstLine="480"/>
        <w:rPr>
          <w:rFonts w:ascii="Times New Roman" w:hAnsi="Times New Roman"/>
          <w:bCs/>
          <w:color w:val="auto"/>
          <w:sz w:val="24"/>
          <w:szCs w:val="24"/>
          <w:highlight w:val="none"/>
        </w:rPr>
      </w:pPr>
      <w:r>
        <w:rPr>
          <w:rFonts w:hint="eastAsia" w:ascii="Times New Roman" w:hAnsi="Times New Roman"/>
          <w:bCs/>
          <w:color w:val="auto"/>
          <w:sz w:val="24"/>
          <w:szCs w:val="24"/>
          <w:highlight w:val="none"/>
        </w:rPr>
        <w:t>质量控制算法不少于</w:t>
      </w:r>
      <w:r>
        <w:rPr>
          <w:rFonts w:ascii="Times New Roman" w:hAnsi="Times New Roman"/>
          <w:bCs/>
          <w:color w:val="auto"/>
          <w:sz w:val="24"/>
          <w:szCs w:val="24"/>
          <w:highlight w:val="none"/>
        </w:rPr>
        <w:t>7</w:t>
      </w:r>
      <w:r>
        <w:rPr>
          <w:rFonts w:hint="eastAsia" w:ascii="Times New Roman" w:hAnsi="Times New Roman"/>
          <w:bCs/>
          <w:color w:val="auto"/>
          <w:sz w:val="24"/>
          <w:szCs w:val="24"/>
          <w:highlight w:val="none"/>
        </w:rPr>
        <w:t>种，利用不少于</w:t>
      </w:r>
      <w:r>
        <w:rPr>
          <w:rFonts w:ascii="Times New Roman" w:hAnsi="Times New Roman"/>
          <w:bCs/>
          <w:color w:val="auto"/>
          <w:sz w:val="24"/>
          <w:szCs w:val="24"/>
          <w:highlight w:val="none"/>
        </w:rPr>
        <w:t>3</w:t>
      </w:r>
      <w:r>
        <w:rPr>
          <w:rFonts w:hint="eastAsia" w:ascii="Times New Roman" w:hAnsi="Times New Roman"/>
          <w:bCs/>
          <w:color w:val="auto"/>
          <w:sz w:val="24"/>
          <w:szCs w:val="24"/>
          <w:highlight w:val="none"/>
        </w:rPr>
        <w:t>年的雷达标准数据集进行评估，算法质量需满足指标要求，具体见表</w:t>
      </w:r>
      <w:r>
        <w:rPr>
          <w:rFonts w:ascii="Times New Roman" w:hAnsi="Times New Roman"/>
          <w:bCs/>
          <w:color w:val="auto"/>
          <w:sz w:val="24"/>
          <w:szCs w:val="24"/>
          <w:highlight w:val="none"/>
        </w:rPr>
        <w:t>9</w:t>
      </w:r>
      <w:r>
        <w:rPr>
          <w:rFonts w:hint="eastAsia" w:ascii="Times New Roman" w:hAnsi="Times New Roman"/>
          <w:bCs/>
          <w:color w:val="auto"/>
          <w:sz w:val="24"/>
          <w:szCs w:val="24"/>
          <w:highlight w:val="none"/>
        </w:rPr>
        <w:t>。</w:t>
      </w:r>
    </w:p>
    <w:p w14:paraId="05109FE7">
      <w:pPr>
        <w:widowControl/>
        <w:kinsoku w:val="0"/>
        <w:autoSpaceDE w:val="0"/>
        <w:autoSpaceDN w:val="0"/>
        <w:adjustRightInd w:val="0"/>
        <w:snapToGrid w:val="0"/>
        <w:spacing w:line="360" w:lineRule="auto"/>
        <w:jc w:val="center"/>
        <w:textAlignment w:val="baseline"/>
        <w:rPr>
          <w:rFonts w:ascii="Times New Roman" w:hAnsi="Times New Roman"/>
          <w:b/>
          <w:bCs/>
          <w:color w:val="auto"/>
          <w:sz w:val="24"/>
          <w:szCs w:val="24"/>
          <w:highlight w:val="none"/>
        </w:rPr>
      </w:pPr>
      <w:r>
        <w:rPr>
          <w:rFonts w:hint="eastAsia" w:ascii="Times New Roman" w:hAnsi="Times New Roman"/>
          <w:b/>
          <w:bCs/>
          <w:color w:val="auto"/>
          <w:spacing w:val="-6"/>
          <w:sz w:val="24"/>
          <w:szCs w:val="24"/>
          <w:highlight w:val="none"/>
        </w:rPr>
        <w:t>表</w:t>
      </w:r>
      <w:r>
        <w:rPr>
          <w:rFonts w:ascii="Times New Roman" w:hAnsi="Times New Roman"/>
          <w:b/>
          <w:bCs/>
          <w:color w:val="auto"/>
          <w:spacing w:val="-6"/>
          <w:sz w:val="24"/>
          <w:szCs w:val="24"/>
          <w:highlight w:val="none"/>
        </w:rPr>
        <w:t xml:space="preserve">9 </w:t>
      </w:r>
      <w:r>
        <w:rPr>
          <w:rFonts w:hint="eastAsia" w:ascii="Times New Roman" w:hAnsi="Times New Roman"/>
          <w:b/>
          <w:bCs/>
          <w:color w:val="auto"/>
          <w:spacing w:val="-6"/>
          <w:sz w:val="24"/>
          <w:szCs w:val="24"/>
          <w:highlight w:val="none"/>
        </w:rPr>
        <w:t>质控算法列表</w:t>
      </w:r>
    </w:p>
    <w:tbl>
      <w:tblPr>
        <w:tblStyle w:val="16"/>
        <w:tblW w:w="5002"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32"/>
        <w:gridCol w:w="3788"/>
        <w:gridCol w:w="3889"/>
      </w:tblGrid>
      <w:tr w14:paraId="7F793F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435" w:type="pct"/>
            <w:vAlign w:val="center"/>
          </w:tcPr>
          <w:p w14:paraId="6392374B">
            <w:pPr>
              <w:widowControl/>
              <w:kinsoku w:val="0"/>
              <w:autoSpaceDE w:val="0"/>
              <w:autoSpaceDN w:val="0"/>
              <w:adjustRightInd w:val="0"/>
              <w:snapToGrid w:val="0"/>
              <w:spacing w:line="360" w:lineRule="auto"/>
              <w:jc w:val="center"/>
              <w:textAlignment w:val="baseline"/>
              <w:rPr>
                <w:rFonts w:ascii="Times New Roman" w:hAnsi="Times New Roman"/>
                <w:b/>
                <w:bCs/>
                <w:color w:val="auto"/>
                <w:sz w:val="24"/>
                <w:szCs w:val="24"/>
                <w:highlight w:val="none"/>
              </w:rPr>
            </w:pPr>
            <w:r>
              <w:rPr>
                <w:rFonts w:hint="eastAsia" w:ascii="Times New Roman" w:hAnsi="Times New Roman"/>
                <w:b/>
                <w:bCs/>
                <w:color w:val="auto"/>
                <w:sz w:val="24"/>
                <w:szCs w:val="24"/>
                <w:highlight w:val="none"/>
              </w:rPr>
              <w:t>序号</w:t>
            </w:r>
          </w:p>
        </w:tc>
        <w:tc>
          <w:tcPr>
            <w:tcW w:w="2252" w:type="pct"/>
            <w:vAlign w:val="center"/>
          </w:tcPr>
          <w:p w14:paraId="47D141EE">
            <w:pPr>
              <w:widowControl/>
              <w:kinsoku w:val="0"/>
              <w:autoSpaceDE w:val="0"/>
              <w:autoSpaceDN w:val="0"/>
              <w:adjustRightInd w:val="0"/>
              <w:snapToGrid w:val="0"/>
              <w:spacing w:line="360" w:lineRule="auto"/>
              <w:jc w:val="center"/>
              <w:textAlignment w:val="baseline"/>
              <w:rPr>
                <w:rFonts w:ascii="Times New Roman" w:hAnsi="Times New Roman"/>
                <w:b/>
                <w:bCs/>
                <w:color w:val="auto"/>
                <w:sz w:val="24"/>
                <w:szCs w:val="24"/>
                <w:highlight w:val="none"/>
              </w:rPr>
            </w:pPr>
            <w:r>
              <w:rPr>
                <w:rFonts w:hint="eastAsia" w:ascii="Times New Roman" w:hAnsi="Times New Roman"/>
                <w:b/>
                <w:bCs/>
                <w:color w:val="auto"/>
                <w:sz w:val="24"/>
                <w:szCs w:val="24"/>
                <w:highlight w:val="none"/>
              </w:rPr>
              <w:t>算法名称</w:t>
            </w:r>
          </w:p>
        </w:tc>
        <w:tc>
          <w:tcPr>
            <w:tcW w:w="2312" w:type="pct"/>
            <w:vAlign w:val="center"/>
          </w:tcPr>
          <w:p w14:paraId="48870CE2">
            <w:pPr>
              <w:widowControl/>
              <w:kinsoku w:val="0"/>
              <w:autoSpaceDE w:val="0"/>
              <w:autoSpaceDN w:val="0"/>
              <w:adjustRightInd w:val="0"/>
              <w:snapToGrid w:val="0"/>
              <w:spacing w:line="360" w:lineRule="auto"/>
              <w:jc w:val="center"/>
              <w:textAlignment w:val="baseline"/>
              <w:rPr>
                <w:rFonts w:ascii="Times New Roman" w:hAnsi="Times New Roman"/>
                <w:b/>
                <w:bCs/>
                <w:color w:val="auto"/>
                <w:sz w:val="24"/>
                <w:szCs w:val="24"/>
                <w:highlight w:val="none"/>
              </w:rPr>
            </w:pPr>
            <w:r>
              <w:rPr>
                <w:rFonts w:hint="eastAsia" w:ascii="Times New Roman" w:hAnsi="Times New Roman"/>
                <w:b/>
                <w:bCs/>
                <w:color w:val="auto"/>
                <w:sz w:val="24"/>
                <w:szCs w:val="24"/>
                <w:highlight w:val="none"/>
              </w:rPr>
              <w:t>指标要求</w:t>
            </w:r>
          </w:p>
        </w:tc>
      </w:tr>
      <w:tr w14:paraId="4BE413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435" w:type="pct"/>
            <w:vAlign w:val="center"/>
          </w:tcPr>
          <w:p w14:paraId="025456C8">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1</w:t>
            </w:r>
          </w:p>
        </w:tc>
        <w:tc>
          <w:tcPr>
            <w:tcW w:w="2252" w:type="pct"/>
            <w:vAlign w:val="center"/>
          </w:tcPr>
          <w:p w14:paraId="209602C6">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反射率因子衰减订正</w:t>
            </w:r>
          </w:p>
        </w:tc>
        <w:tc>
          <w:tcPr>
            <w:tcW w:w="2312" w:type="pct"/>
            <w:vAlign w:val="center"/>
          </w:tcPr>
          <w:p w14:paraId="2D3EABBA">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衰减订正后，与相邻</w:t>
            </w:r>
            <w:r>
              <w:rPr>
                <w:rFonts w:ascii="Times New Roman" w:hAnsi="Times New Roman"/>
                <w:color w:val="auto"/>
                <w:sz w:val="24"/>
                <w:szCs w:val="24"/>
                <w:highlight w:val="none"/>
              </w:rPr>
              <w:t>S</w:t>
            </w:r>
            <w:r>
              <w:rPr>
                <w:rFonts w:hint="eastAsia" w:ascii="Times New Roman" w:hAnsi="Times New Roman"/>
                <w:color w:val="auto"/>
                <w:sz w:val="24"/>
                <w:szCs w:val="24"/>
                <w:highlight w:val="none"/>
              </w:rPr>
              <w:t>波段雷达相比平均偏差≤</w:t>
            </w:r>
            <w:r>
              <w:rPr>
                <w:rFonts w:ascii="Times New Roman" w:hAnsi="Times New Roman"/>
                <w:color w:val="auto"/>
                <w:sz w:val="24"/>
                <w:szCs w:val="24"/>
                <w:highlight w:val="none"/>
              </w:rPr>
              <w:t>2.5dB</w:t>
            </w:r>
          </w:p>
        </w:tc>
      </w:tr>
      <w:tr w14:paraId="53C619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435" w:type="pct"/>
            <w:vAlign w:val="center"/>
          </w:tcPr>
          <w:p w14:paraId="1CC787D6">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2</w:t>
            </w:r>
          </w:p>
        </w:tc>
        <w:tc>
          <w:tcPr>
            <w:tcW w:w="2252" w:type="pct"/>
            <w:vAlign w:val="center"/>
          </w:tcPr>
          <w:p w14:paraId="1E7F73D4">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差分反射率因子衰减订正</w:t>
            </w:r>
          </w:p>
        </w:tc>
        <w:tc>
          <w:tcPr>
            <w:tcW w:w="2312" w:type="pct"/>
            <w:vAlign w:val="center"/>
          </w:tcPr>
          <w:p w14:paraId="559D732F">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衰减订正后，与相邻</w:t>
            </w:r>
            <w:r>
              <w:rPr>
                <w:rFonts w:ascii="Times New Roman" w:hAnsi="Times New Roman"/>
                <w:color w:val="auto"/>
                <w:sz w:val="24"/>
                <w:szCs w:val="24"/>
                <w:highlight w:val="none"/>
              </w:rPr>
              <w:t>S</w:t>
            </w:r>
            <w:r>
              <w:rPr>
                <w:rFonts w:hint="eastAsia" w:ascii="Times New Roman" w:hAnsi="Times New Roman"/>
                <w:color w:val="auto"/>
                <w:sz w:val="24"/>
                <w:szCs w:val="24"/>
                <w:highlight w:val="none"/>
              </w:rPr>
              <w:t>波段雷达相比平均偏差≤</w:t>
            </w:r>
            <w:r>
              <w:rPr>
                <w:rFonts w:ascii="Times New Roman" w:hAnsi="Times New Roman"/>
                <w:color w:val="auto"/>
                <w:sz w:val="24"/>
                <w:szCs w:val="24"/>
                <w:highlight w:val="none"/>
              </w:rPr>
              <w:t>0.5dB</w:t>
            </w:r>
          </w:p>
        </w:tc>
      </w:tr>
      <w:tr w14:paraId="0B9FF9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435" w:type="pct"/>
            <w:vAlign w:val="center"/>
          </w:tcPr>
          <w:p w14:paraId="267C7B10">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3</w:t>
            </w:r>
          </w:p>
        </w:tc>
        <w:tc>
          <w:tcPr>
            <w:tcW w:w="2252" w:type="pct"/>
            <w:vAlign w:val="center"/>
          </w:tcPr>
          <w:p w14:paraId="12126FE9">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地物、超折射、海浪等非降水回波消除</w:t>
            </w:r>
          </w:p>
        </w:tc>
        <w:tc>
          <w:tcPr>
            <w:tcW w:w="2312" w:type="pct"/>
            <w:vAlign w:val="center"/>
          </w:tcPr>
          <w:p w14:paraId="43CA4914">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非降水回波识别准确率≥</w:t>
            </w:r>
            <w:r>
              <w:rPr>
                <w:rFonts w:ascii="Times New Roman" w:hAnsi="Times New Roman"/>
                <w:color w:val="auto"/>
                <w:sz w:val="24"/>
                <w:szCs w:val="24"/>
                <w:highlight w:val="none"/>
              </w:rPr>
              <w:t>90%</w:t>
            </w:r>
            <w:r>
              <w:rPr>
                <w:rFonts w:hint="eastAsia" w:ascii="Times New Roman" w:hAnsi="Times New Roman"/>
                <w:color w:val="auto"/>
                <w:sz w:val="24"/>
                <w:szCs w:val="24"/>
                <w:highlight w:val="none"/>
              </w:rPr>
              <w:t>，且降水回波误判率≤</w:t>
            </w:r>
            <w:r>
              <w:rPr>
                <w:rFonts w:ascii="Times New Roman" w:hAnsi="Times New Roman"/>
                <w:color w:val="auto"/>
                <w:sz w:val="24"/>
                <w:szCs w:val="24"/>
                <w:highlight w:val="none"/>
              </w:rPr>
              <w:t>5%</w:t>
            </w:r>
          </w:p>
        </w:tc>
      </w:tr>
      <w:tr w14:paraId="018B27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435" w:type="pct"/>
            <w:vAlign w:val="center"/>
          </w:tcPr>
          <w:p w14:paraId="49AE0694">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4</w:t>
            </w:r>
          </w:p>
        </w:tc>
        <w:tc>
          <w:tcPr>
            <w:tcW w:w="2252" w:type="pct"/>
            <w:vAlign w:val="center"/>
          </w:tcPr>
          <w:p w14:paraId="3AF62FD2">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径向干扰剔除</w:t>
            </w:r>
          </w:p>
        </w:tc>
        <w:tc>
          <w:tcPr>
            <w:tcW w:w="2312" w:type="pct"/>
            <w:vAlign w:val="center"/>
          </w:tcPr>
          <w:p w14:paraId="0FDB5111">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径向干扰识别准确率≥</w:t>
            </w:r>
            <w:r>
              <w:rPr>
                <w:rFonts w:ascii="Times New Roman" w:hAnsi="Times New Roman"/>
                <w:color w:val="auto"/>
                <w:sz w:val="24"/>
                <w:szCs w:val="24"/>
                <w:highlight w:val="none"/>
              </w:rPr>
              <w:t>90%</w:t>
            </w:r>
            <w:r>
              <w:rPr>
                <w:rFonts w:hint="eastAsia" w:ascii="Times New Roman" w:hAnsi="Times New Roman"/>
                <w:color w:val="auto"/>
                <w:sz w:val="24"/>
                <w:szCs w:val="24"/>
                <w:highlight w:val="none"/>
              </w:rPr>
              <w:t>，且降水回波误判率≤</w:t>
            </w:r>
            <w:r>
              <w:rPr>
                <w:rFonts w:ascii="Times New Roman" w:hAnsi="Times New Roman"/>
                <w:color w:val="auto"/>
                <w:sz w:val="24"/>
                <w:szCs w:val="24"/>
                <w:highlight w:val="none"/>
              </w:rPr>
              <w:t>5%</w:t>
            </w:r>
          </w:p>
        </w:tc>
      </w:tr>
      <w:tr w14:paraId="442C06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435" w:type="pct"/>
            <w:vAlign w:val="center"/>
          </w:tcPr>
          <w:p w14:paraId="4AC92CBA">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5</w:t>
            </w:r>
          </w:p>
        </w:tc>
        <w:tc>
          <w:tcPr>
            <w:tcW w:w="2252" w:type="pct"/>
            <w:vAlign w:val="center"/>
          </w:tcPr>
          <w:p w14:paraId="59F1FCD9">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径向速度退模糊</w:t>
            </w:r>
          </w:p>
        </w:tc>
        <w:tc>
          <w:tcPr>
            <w:tcW w:w="2312" w:type="pct"/>
            <w:vAlign w:val="center"/>
          </w:tcPr>
          <w:p w14:paraId="4A1266E5">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速度退模糊正确率≥</w:t>
            </w:r>
            <w:r>
              <w:rPr>
                <w:rFonts w:ascii="Times New Roman" w:hAnsi="Times New Roman"/>
                <w:color w:val="auto"/>
                <w:sz w:val="24"/>
                <w:szCs w:val="24"/>
                <w:highlight w:val="none"/>
              </w:rPr>
              <w:t>90%</w:t>
            </w:r>
            <w:r>
              <w:rPr>
                <w:rFonts w:hint="eastAsia" w:ascii="Times New Roman" w:hAnsi="Times New Roman"/>
                <w:color w:val="auto"/>
                <w:sz w:val="24"/>
                <w:szCs w:val="24"/>
                <w:highlight w:val="none"/>
              </w:rPr>
              <w:t>，且标准偏差≤</w:t>
            </w:r>
            <w:r>
              <w:rPr>
                <w:rFonts w:ascii="Times New Roman" w:hAnsi="Times New Roman"/>
                <w:color w:val="auto"/>
                <w:sz w:val="24"/>
                <w:szCs w:val="24"/>
                <w:highlight w:val="none"/>
              </w:rPr>
              <w:t>2m/s</w:t>
            </w:r>
          </w:p>
        </w:tc>
      </w:tr>
      <w:tr w14:paraId="40CA47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435" w:type="pct"/>
            <w:vAlign w:val="center"/>
          </w:tcPr>
          <w:p w14:paraId="5F4C91F1">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6</w:t>
            </w:r>
          </w:p>
        </w:tc>
        <w:tc>
          <w:tcPr>
            <w:tcW w:w="2252" w:type="pct"/>
            <w:vAlign w:val="center"/>
          </w:tcPr>
          <w:p w14:paraId="1E71B30A">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差分相移退折叠</w:t>
            </w:r>
          </w:p>
        </w:tc>
        <w:tc>
          <w:tcPr>
            <w:tcW w:w="2312" w:type="pct"/>
            <w:vAlign w:val="center"/>
          </w:tcPr>
          <w:p w14:paraId="43B28AD4">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退折叠正确率≥</w:t>
            </w:r>
            <w:r>
              <w:rPr>
                <w:rFonts w:ascii="Times New Roman" w:hAnsi="Times New Roman"/>
                <w:color w:val="auto"/>
                <w:sz w:val="24"/>
                <w:szCs w:val="24"/>
                <w:highlight w:val="none"/>
              </w:rPr>
              <w:t>95%</w:t>
            </w:r>
          </w:p>
        </w:tc>
      </w:tr>
      <w:tr w14:paraId="715F87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435" w:type="pct"/>
            <w:vAlign w:val="center"/>
          </w:tcPr>
          <w:p w14:paraId="11625FC6">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7</w:t>
            </w:r>
          </w:p>
        </w:tc>
        <w:tc>
          <w:tcPr>
            <w:tcW w:w="2252" w:type="pct"/>
            <w:vAlign w:val="center"/>
          </w:tcPr>
          <w:p w14:paraId="51BB451D">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差分传播相移率估算</w:t>
            </w:r>
          </w:p>
        </w:tc>
        <w:tc>
          <w:tcPr>
            <w:tcW w:w="2312" w:type="pct"/>
            <w:vAlign w:val="center"/>
          </w:tcPr>
          <w:p w14:paraId="2BD03CDE">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满足合理性评估要求</w:t>
            </w:r>
          </w:p>
        </w:tc>
      </w:tr>
    </w:tbl>
    <w:p w14:paraId="09E58CA0">
      <w:pPr>
        <w:tabs>
          <w:tab w:val="left" w:pos="2340"/>
        </w:tabs>
        <w:spacing w:line="360" w:lineRule="auto"/>
        <w:ind w:firstLine="480"/>
        <w:rPr>
          <w:rFonts w:ascii="Times New Roman" w:hAnsi="Times New Roman"/>
          <w:bCs/>
          <w:color w:val="auto"/>
          <w:sz w:val="24"/>
          <w:szCs w:val="24"/>
          <w:highlight w:val="none"/>
        </w:rPr>
      </w:pPr>
      <w:r>
        <w:rPr>
          <w:rFonts w:hint="eastAsia" w:ascii="Times New Roman" w:hAnsi="Times New Roman"/>
          <w:bCs/>
          <w:color w:val="auto"/>
          <w:sz w:val="24"/>
          <w:szCs w:val="24"/>
          <w:highlight w:val="none"/>
        </w:rPr>
        <w:t>（</w:t>
      </w:r>
      <w:r>
        <w:rPr>
          <w:rFonts w:ascii="Times New Roman" w:hAnsi="Times New Roman"/>
          <w:bCs/>
          <w:color w:val="auto"/>
          <w:sz w:val="24"/>
          <w:szCs w:val="24"/>
          <w:highlight w:val="none"/>
        </w:rPr>
        <w:t>2</w:t>
      </w:r>
      <w:r>
        <w:rPr>
          <w:rFonts w:hint="eastAsia" w:ascii="Times New Roman" w:hAnsi="Times New Roman"/>
          <w:bCs/>
          <w:color w:val="auto"/>
          <w:sz w:val="24"/>
          <w:szCs w:val="24"/>
          <w:highlight w:val="none"/>
        </w:rPr>
        <w:t>）气象产品种类</w:t>
      </w:r>
    </w:p>
    <w:p w14:paraId="5851398A">
      <w:pPr>
        <w:tabs>
          <w:tab w:val="left" w:pos="2340"/>
        </w:tabs>
        <w:spacing w:line="360" w:lineRule="auto"/>
        <w:ind w:firstLine="480"/>
        <w:rPr>
          <w:rFonts w:ascii="Times New Roman" w:hAnsi="Times New Roman"/>
          <w:bCs/>
          <w:color w:val="auto"/>
          <w:sz w:val="24"/>
          <w:szCs w:val="24"/>
          <w:highlight w:val="none"/>
        </w:rPr>
      </w:pPr>
      <w:r>
        <w:rPr>
          <w:rFonts w:hint="eastAsia" w:ascii="Times New Roman" w:hAnsi="Times New Roman"/>
          <w:bCs/>
          <w:color w:val="auto"/>
          <w:sz w:val="24"/>
          <w:szCs w:val="24"/>
          <w:highlight w:val="none"/>
        </w:rPr>
        <w:t>气象产品应包含但不限于以下内容，可以根据雷达实际用途进行扩展。</w:t>
      </w:r>
    </w:p>
    <w:p w14:paraId="69558E79">
      <w:pPr>
        <w:tabs>
          <w:tab w:val="left" w:pos="2340"/>
        </w:tabs>
        <w:spacing w:line="360" w:lineRule="auto"/>
        <w:ind w:firstLine="480"/>
        <w:rPr>
          <w:rFonts w:ascii="Times New Roman" w:hAnsi="Times New Roman"/>
          <w:bCs/>
          <w:color w:val="auto"/>
          <w:sz w:val="24"/>
          <w:szCs w:val="24"/>
          <w:highlight w:val="none"/>
        </w:rPr>
      </w:pPr>
      <w:r>
        <w:rPr>
          <w:rFonts w:ascii="Times New Roman" w:hAnsi="Times New Roman"/>
          <w:bCs/>
          <w:color w:val="auto"/>
          <w:sz w:val="24"/>
          <w:szCs w:val="24"/>
          <w:highlight w:val="none"/>
        </w:rPr>
        <w:t>1</w:t>
      </w:r>
      <w:r>
        <w:rPr>
          <w:rFonts w:hint="eastAsia" w:ascii="Times New Roman" w:hAnsi="Times New Roman"/>
          <w:bCs/>
          <w:color w:val="auto"/>
          <w:sz w:val="24"/>
          <w:szCs w:val="24"/>
          <w:highlight w:val="none"/>
        </w:rPr>
        <w:t>）基本产品</w:t>
      </w:r>
    </w:p>
    <w:p w14:paraId="448E82E5">
      <w:pPr>
        <w:tabs>
          <w:tab w:val="left" w:pos="2340"/>
        </w:tabs>
        <w:spacing w:line="360" w:lineRule="auto"/>
        <w:ind w:firstLine="480"/>
        <w:rPr>
          <w:rFonts w:ascii="Times New Roman" w:hAnsi="Times New Roman"/>
          <w:bCs/>
          <w:color w:val="auto"/>
          <w:sz w:val="24"/>
          <w:szCs w:val="24"/>
          <w:highlight w:val="none"/>
        </w:rPr>
      </w:pPr>
      <w:r>
        <w:rPr>
          <w:rFonts w:hint="eastAsia" w:ascii="Times New Roman" w:hAnsi="Times New Roman"/>
          <w:bCs/>
          <w:color w:val="auto"/>
          <w:sz w:val="24"/>
          <w:szCs w:val="24"/>
          <w:highlight w:val="none"/>
        </w:rPr>
        <w:t>基本产品不少于</w:t>
      </w:r>
      <w:r>
        <w:rPr>
          <w:rFonts w:ascii="Times New Roman" w:hAnsi="Times New Roman"/>
          <w:bCs/>
          <w:color w:val="auto"/>
          <w:sz w:val="24"/>
          <w:szCs w:val="24"/>
          <w:highlight w:val="none"/>
        </w:rPr>
        <w:t>10</w:t>
      </w:r>
      <w:r>
        <w:rPr>
          <w:rFonts w:hint="eastAsia" w:ascii="Times New Roman" w:hAnsi="Times New Roman"/>
          <w:bCs/>
          <w:color w:val="auto"/>
          <w:sz w:val="24"/>
          <w:szCs w:val="24"/>
          <w:highlight w:val="none"/>
        </w:rPr>
        <w:t>种，具体见表</w:t>
      </w:r>
      <w:r>
        <w:rPr>
          <w:rFonts w:ascii="Times New Roman" w:hAnsi="Times New Roman"/>
          <w:bCs/>
          <w:color w:val="auto"/>
          <w:sz w:val="24"/>
          <w:szCs w:val="24"/>
          <w:highlight w:val="none"/>
        </w:rPr>
        <w:t>10</w:t>
      </w:r>
      <w:r>
        <w:rPr>
          <w:rFonts w:hint="eastAsia" w:ascii="Times New Roman" w:hAnsi="Times New Roman"/>
          <w:bCs/>
          <w:color w:val="auto"/>
          <w:sz w:val="24"/>
          <w:szCs w:val="24"/>
          <w:highlight w:val="none"/>
        </w:rPr>
        <w:t>。</w:t>
      </w:r>
    </w:p>
    <w:p w14:paraId="7E430FA3">
      <w:pPr>
        <w:widowControl/>
        <w:kinsoku w:val="0"/>
        <w:autoSpaceDE w:val="0"/>
        <w:autoSpaceDN w:val="0"/>
        <w:adjustRightInd w:val="0"/>
        <w:snapToGrid w:val="0"/>
        <w:spacing w:line="360" w:lineRule="auto"/>
        <w:jc w:val="center"/>
        <w:textAlignment w:val="baseline"/>
        <w:rPr>
          <w:rFonts w:ascii="Times New Roman" w:hAnsi="Times New Roman"/>
          <w:b/>
          <w:bCs/>
          <w:color w:val="auto"/>
          <w:spacing w:val="-6"/>
          <w:sz w:val="24"/>
          <w:szCs w:val="24"/>
          <w:highlight w:val="none"/>
        </w:rPr>
      </w:pPr>
      <w:r>
        <w:rPr>
          <w:rFonts w:hint="eastAsia" w:ascii="Times New Roman" w:hAnsi="Times New Roman"/>
          <w:b/>
          <w:bCs/>
          <w:color w:val="auto"/>
          <w:spacing w:val="-6"/>
          <w:sz w:val="24"/>
          <w:szCs w:val="24"/>
          <w:highlight w:val="none"/>
        </w:rPr>
        <w:t>表</w:t>
      </w:r>
      <w:r>
        <w:rPr>
          <w:rFonts w:ascii="Times New Roman" w:hAnsi="Times New Roman"/>
          <w:b/>
          <w:bCs/>
          <w:color w:val="auto"/>
          <w:spacing w:val="-6"/>
          <w:sz w:val="24"/>
          <w:szCs w:val="24"/>
          <w:highlight w:val="none"/>
        </w:rPr>
        <w:t xml:space="preserve">10 </w:t>
      </w:r>
      <w:r>
        <w:rPr>
          <w:rFonts w:hint="eastAsia" w:ascii="Times New Roman" w:hAnsi="Times New Roman"/>
          <w:b/>
          <w:bCs/>
          <w:color w:val="auto"/>
          <w:spacing w:val="-6"/>
          <w:sz w:val="24"/>
          <w:szCs w:val="24"/>
          <w:highlight w:val="none"/>
        </w:rPr>
        <w:t>基本产品列表</w:t>
      </w:r>
    </w:p>
    <w:tbl>
      <w:tblPr>
        <w:tblStyle w:val="16"/>
        <w:tblpPr w:leftFromText="180" w:rightFromText="180" w:vertAnchor="text" w:horzAnchor="page" w:tblpX="1695" w:tblpY="462"/>
        <w:tblOverlap w:val="never"/>
        <w:tblW w:w="5002"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290"/>
        <w:gridCol w:w="4209"/>
        <w:gridCol w:w="2910"/>
      </w:tblGrid>
      <w:tr w14:paraId="76948B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767" w:type="pct"/>
            <w:vAlign w:val="center"/>
          </w:tcPr>
          <w:p w14:paraId="7AA29BBE">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hint="eastAsia" w:ascii="Times New Roman" w:hAnsi="Times New Roman"/>
                <w:b/>
                <w:bCs/>
                <w:color w:val="auto"/>
                <w:spacing w:val="-11"/>
                <w:sz w:val="24"/>
                <w:szCs w:val="24"/>
                <w:highlight w:val="none"/>
              </w:rPr>
              <w:t>序号</w:t>
            </w:r>
          </w:p>
        </w:tc>
        <w:tc>
          <w:tcPr>
            <w:tcW w:w="2502" w:type="pct"/>
            <w:vAlign w:val="center"/>
          </w:tcPr>
          <w:p w14:paraId="688EB281">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hint="eastAsia" w:ascii="Times New Roman" w:hAnsi="Times New Roman"/>
                <w:b/>
                <w:bCs/>
                <w:color w:val="auto"/>
                <w:spacing w:val="-9"/>
                <w:sz w:val="24"/>
                <w:szCs w:val="24"/>
                <w:highlight w:val="none"/>
              </w:rPr>
              <w:t>产品名称</w:t>
            </w:r>
          </w:p>
        </w:tc>
        <w:tc>
          <w:tcPr>
            <w:tcW w:w="1729" w:type="pct"/>
            <w:vAlign w:val="center"/>
          </w:tcPr>
          <w:p w14:paraId="21C68D19">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hint="eastAsia" w:ascii="Times New Roman" w:hAnsi="Times New Roman"/>
                <w:b/>
                <w:bCs/>
                <w:color w:val="auto"/>
                <w:spacing w:val="-9"/>
                <w:sz w:val="24"/>
                <w:szCs w:val="24"/>
                <w:highlight w:val="none"/>
              </w:rPr>
              <w:t>产品标识</w:t>
            </w:r>
          </w:p>
        </w:tc>
      </w:tr>
      <w:tr w14:paraId="35496A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67" w:type="pct"/>
            <w:vAlign w:val="center"/>
          </w:tcPr>
          <w:p w14:paraId="3466866A">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1</w:t>
            </w:r>
          </w:p>
        </w:tc>
        <w:tc>
          <w:tcPr>
            <w:tcW w:w="2502" w:type="pct"/>
            <w:vAlign w:val="center"/>
          </w:tcPr>
          <w:p w14:paraId="720EF92E">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滤波前回波强度</w:t>
            </w:r>
          </w:p>
        </w:tc>
        <w:tc>
          <w:tcPr>
            <w:tcW w:w="1729" w:type="pct"/>
            <w:vAlign w:val="center"/>
          </w:tcPr>
          <w:p w14:paraId="150A3884">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TR</w:t>
            </w:r>
          </w:p>
        </w:tc>
      </w:tr>
      <w:tr w14:paraId="2EDE1A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67" w:type="pct"/>
            <w:vAlign w:val="center"/>
          </w:tcPr>
          <w:p w14:paraId="3CDF4093">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2</w:t>
            </w:r>
          </w:p>
        </w:tc>
        <w:tc>
          <w:tcPr>
            <w:tcW w:w="2502" w:type="pct"/>
            <w:vAlign w:val="center"/>
          </w:tcPr>
          <w:p w14:paraId="12E656D8">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滤波后回波强度</w:t>
            </w:r>
          </w:p>
        </w:tc>
        <w:tc>
          <w:tcPr>
            <w:tcW w:w="1729" w:type="pct"/>
            <w:vAlign w:val="center"/>
          </w:tcPr>
          <w:p w14:paraId="37CCAA6F">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R</w:t>
            </w:r>
          </w:p>
        </w:tc>
      </w:tr>
      <w:tr w14:paraId="0EAF21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67" w:type="pct"/>
            <w:vAlign w:val="center"/>
          </w:tcPr>
          <w:p w14:paraId="3CFDCC5C">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3</w:t>
            </w:r>
          </w:p>
        </w:tc>
        <w:tc>
          <w:tcPr>
            <w:tcW w:w="2502" w:type="pct"/>
            <w:vAlign w:val="center"/>
          </w:tcPr>
          <w:p w14:paraId="5E281CD2">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径向速度</w:t>
            </w:r>
          </w:p>
        </w:tc>
        <w:tc>
          <w:tcPr>
            <w:tcW w:w="1729" w:type="pct"/>
            <w:vAlign w:val="center"/>
          </w:tcPr>
          <w:p w14:paraId="512CAFDE">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V</w:t>
            </w:r>
          </w:p>
        </w:tc>
      </w:tr>
      <w:tr w14:paraId="5F93FD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67" w:type="pct"/>
            <w:vAlign w:val="center"/>
          </w:tcPr>
          <w:p w14:paraId="7742D8DA">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4</w:t>
            </w:r>
          </w:p>
        </w:tc>
        <w:tc>
          <w:tcPr>
            <w:tcW w:w="2502" w:type="pct"/>
            <w:vAlign w:val="center"/>
          </w:tcPr>
          <w:p w14:paraId="347CC908">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速度谱宽</w:t>
            </w:r>
          </w:p>
        </w:tc>
        <w:tc>
          <w:tcPr>
            <w:tcW w:w="1729" w:type="pct"/>
            <w:vAlign w:val="center"/>
          </w:tcPr>
          <w:p w14:paraId="6F493E18">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SW</w:t>
            </w:r>
          </w:p>
        </w:tc>
      </w:tr>
      <w:tr w14:paraId="4A9B68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67" w:type="pct"/>
            <w:vAlign w:val="center"/>
          </w:tcPr>
          <w:p w14:paraId="37E62E15">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5</w:t>
            </w:r>
          </w:p>
        </w:tc>
        <w:tc>
          <w:tcPr>
            <w:tcW w:w="2502" w:type="pct"/>
            <w:vAlign w:val="center"/>
          </w:tcPr>
          <w:p w14:paraId="3C6081E4">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差分反射率因子</w:t>
            </w:r>
          </w:p>
        </w:tc>
        <w:tc>
          <w:tcPr>
            <w:tcW w:w="1729" w:type="pct"/>
            <w:vAlign w:val="center"/>
          </w:tcPr>
          <w:p w14:paraId="43D8F32C">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ZDR</w:t>
            </w:r>
          </w:p>
        </w:tc>
      </w:tr>
      <w:tr w14:paraId="48DE54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67" w:type="pct"/>
            <w:vAlign w:val="center"/>
          </w:tcPr>
          <w:p w14:paraId="6DCC50E0">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6</w:t>
            </w:r>
          </w:p>
        </w:tc>
        <w:tc>
          <w:tcPr>
            <w:tcW w:w="2502" w:type="pct"/>
            <w:vAlign w:val="center"/>
          </w:tcPr>
          <w:p w14:paraId="747FC840">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差分传播相移</w:t>
            </w:r>
          </w:p>
        </w:tc>
        <w:tc>
          <w:tcPr>
            <w:tcW w:w="1729" w:type="pct"/>
            <w:vAlign w:val="center"/>
          </w:tcPr>
          <w:p w14:paraId="17260464">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PDP</w:t>
            </w:r>
          </w:p>
        </w:tc>
      </w:tr>
      <w:tr w14:paraId="139ECD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67" w:type="pct"/>
            <w:vAlign w:val="center"/>
          </w:tcPr>
          <w:p w14:paraId="6D42B6E3">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7</w:t>
            </w:r>
          </w:p>
        </w:tc>
        <w:tc>
          <w:tcPr>
            <w:tcW w:w="2502" w:type="pct"/>
            <w:vAlign w:val="center"/>
          </w:tcPr>
          <w:p w14:paraId="34005620">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差分传播相移率</w:t>
            </w:r>
          </w:p>
        </w:tc>
        <w:tc>
          <w:tcPr>
            <w:tcW w:w="1729" w:type="pct"/>
            <w:vAlign w:val="center"/>
          </w:tcPr>
          <w:p w14:paraId="4EB272AD">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KDP</w:t>
            </w:r>
          </w:p>
        </w:tc>
      </w:tr>
      <w:tr w14:paraId="3F0D69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67" w:type="pct"/>
            <w:vAlign w:val="center"/>
          </w:tcPr>
          <w:p w14:paraId="6EFEF31C">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8</w:t>
            </w:r>
          </w:p>
        </w:tc>
        <w:tc>
          <w:tcPr>
            <w:tcW w:w="2502" w:type="pct"/>
            <w:vAlign w:val="center"/>
          </w:tcPr>
          <w:p w14:paraId="0718E9CD">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相关系数</w:t>
            </w:r>
          </w:p>
        </w:tc>
        <w:tc>
          <w:tcPr>
            <w:tcW w:w="1729" w:type="pct"/>
            <w:vAlign w:val="center"/>
          </w:tcPr>
          <w:p w14:paraId="05A78CA6">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CC</w:t>
            </w:r>
          </w:p>
        </w:tc>
      </w:tr>
      <w:tr w14:paraId="2F2900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67" w:type="pct"/>
            <w:vAlign w:val="center"/>
          </w:tcPr>
          <w:p w14:paraId="4D465D3C">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9</w:t>
            </w:r>
          </w:p>
        </w:tc>
        <w:tc>
          <w:tcPr>
            <w:tcW w:w="2502" w:type="pct"/>
            <w:vAlign w:val="center"/>
          </w:tcPr>
          <w:p w14:paraId="4CC470F8">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水平通道信噪比</w:t>
            </w:r>
          </w:p>
        </w:tc>
        <w:tc>
          <w:tcPr>
            <w:tcW w:w="1729" w:type="pct"/>
            <w:vAlign w:val="center"/>
          </w:tcPr>
          <w:p w14:paraId="104AB867">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SNRH</w:t>
            </w:r>
          </w:p>
        </w:tc>
      </w:tr>
      <w:tr w14:paraId="2BEC92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767" w:type="pct"/>
            <w:vAlign w:val="center"/>
          </w:tcPr>
          <w:p w14:paraId="58B577DC">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10</w:t>
            </w:r>
          </w:p>
        </w:tc>
        <w:tc>
          <w:tcPr>
            <w:tcW w:w="2502" w:type="pct"/>
            <w:vAlign w:val="center"/>
          </w:tcPr>
          <w:p w14:paraId="12A9BC00">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垂直通道信噪比</w:t>
            </w:r>
          </w:p>
        </w:tc>
        <w:tc>
          <w:tcPr>
            <w:tcW w:w="1729" w:type="pct"/>
            <w:vAlign w:val="center"/>
          </w:tcPr>
          <w:p w14:paraId="3DFA9E9F">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SNRV</w:t>
            </w:r>
          </w:p>
        </w:tc>
      </w:tr>
    </w:tbl>
    <w:p w14:paraId="73AFCAC4">
      <w:pPr>
        <w:tabs>
          <w:tab w:val="left" w:pos="2340"/>
        </w:tabs>
        <w:spacing w:line="360" w:lineRule="auto"/>
        <w:ind w:firstLine="480"/>
        <w:rPr>
          <w:rFonts w:ascii="Times New Roman" w:hAnsi="Times New Roman"/>
          <w:bCs/>
          <w:color w:val="auto"/>
          <w:sz w:val="24"/>
          <w:szCs w:val="24"/>
          <w:highlight w:val="none"/>
        </w:rPr>
      </w:pPr>
      <w:r>
        <w:rPr>
          <w:rFonts w:ascii="Times New Roman" w:hAnsi="Times New Roman"/>
          <w:bCs/>
          <w:color w:val="auto"/>
          <w:sz w:val="24"/>
          <w:szCs w:val="24"/>
          <w:highlight w:val="none"/>
        </w:rPr>
        <w:t>2</w:t>
      </w:r>
      <w:r>
        <w:rPr>
          <w:rFonts w:hint="eastAsia" w:ascii="Times New Roman" w:hAnsi="Times New Roman"/>
          <w:bCs/>
          <w:color w:val="auto"/>
          <w:sz w:val="24"/>
          <w:szCs w:val="24"/>
          <w:highlight w:val="none"/>
        </w:rPr>
        <w:t>）二次产品</w:t>
      </w:r>
    </w:p>
    <w:p w14:paraId="3F106C51">
      <w:pPr>
        <w:tabs>
          <w:tab w:val="left" w:pos="2340"/>
        </w:tabs>
        <w:spacing w:line="360" w:lineRule="auto"/>
        <w:ind w:firstLine="480"/>
        <w:rPr>
          <w:rFonts w:ascii="Times New Roman" w:hAnsi="Times New Roman"/>
          <w:bCs/>
          <w:color w:val="auto"/>
          <w:sz w:val="24"/>
          <w:szCs w:val="24"/>
          <w:highlight w:val="none"/>
        </w:rPr>
      </w:pPr>
      <w:r>
        <w:rPr>
          <w:rFonts w:hint="eastAsia" w:ascii="Times New Roman" w:hAnsi="Times New Roman"/>
          <w:bCs/>
          <w:color w:val="auto"/>
          <w:sz w:val="24"/>
          <w:szCs w:val="24"/>
          <w:highlight w:val="none"/>
        </w:rPr>
        <w:t>二次产品包括物理量产品和识别类产品</w:t>
      </w:r>
      <w:r>
        <w:rPr>
          <w:rFonts w:ascii="Times New Roman" w:hAnsi="Times New Roman"/>
          <w:bCs/>
          <w:color w:val="auto"/>
          <w:sz w:val="24"/>
          <w:szCs w:val="24"/>
          <w:highlight w:val="none"/>
        </w:rPr>
        <w:t>2</w:t>
      </w:r>
      <w:r>
        <w:rPr>
          <w:rFonts w:hint="eastAsia" w:ascii="Times New Roman" w:hAnsi="Times New Roman"/>
          <w:bCs/>
          <w:color w:val="auto"/>
          <w:sz w:val="24"/>
          <w:szCs w:val="24"/>
          <w:highlight w:val="none"/>
        </w:rPr>
        <w:t>类，其中物理量产品不少于</w:t>
      </w:r>
      <w:r>
        <w:rPr>
          <w:rFonts w:ascii="Times New Roman" w:hAnsi="Times New Roman"/>
          <w:bCs/>
          <w:color w:val="auto"/>
          <w:sz w:val="24"/>
          <w:szCs w:val="24"/>
          <w:highlight w:val="none"/>
        </w:rPr>
        <w:t>14</w:t>
      </w:r>
      <w:r>
        <w:rPr>
          <w:rFonts w:hint="eastAsia" w:ascii="Times New Roman" w:hAnsi="Times New Roman"/>
          <w:bCs/>
          <w:color w:val="auto"/>
          <w:sz w:val="24"/>
          <w:szCs w:val="24"/>
          <w:highlight w:val="none"/>
        </w:rPr>
        <w:t>种、识别类产品不少于</w:t>
      </w:r>
      <w:r>
        <w:rPr>
          <w:rFonts w:ascii="Times New Roman" w:hAnsi="Times New Roman"/>
          <w:bCs/>
          <w:color w:val="auto"/>
          <w:sz w:val="24"/>
          <w:szCs w:val="24"/>
          <w:highlight w:val="none"/>
        </w:rPr>
        <w:t>9</w:t>
      </w:r>
      <w:r>
        <w:rPr>
          <w:rFonts w:hint="eastAsia" w:ascii="Times New Roman" w:hAnsi="Times New Roman"/>
          <w:bCs/>
          <w:color w:val="auto"/>
          <w:sz w:val="24"/>
          <w:szCs w:val="24"/>
          <w:highlight w:val="none"/>
        </w:rPr>
        <w:t>种。如表</w:t>
      </w:r>
      <w:r>
        <w:rPr>
          <w:rFonts w:ascii="Times New Roman" w:hAnsi="Times New Roman"/>
          <w:bCs/>
          <w:color w:val="auto"/>
          <w:sz w:val="24"/>
          <w:szCs w:val="24"/>
          <w:highlight w:val="none"/>
        </w:rPr>
        <w:t>11</w:t>
      </w:r>
      <w:r>
        <w:rPr>
          <w:rFonts w:hint="eastAsia" w:ascii="Times New Roman" w:hAnsi="Times New Roman"/>
          <w:bCs/>
          <w:color w:val="auto"/>
          <w:sz w:val="24"/>
          <w:szCs w:val="24"/>
          <w:highlight w:val="none"/>
        </w:rPr>
        <w:t>所示。</w:t>
      </w:r>
    </w:p>
    <w:p w14:paraId="481F78D7">
      <w:pPr>
        <w:tabs>
          <w:tab w:val="left" w:pos="2340"/>
        </w:tabs>
        <w:spacing w:line="360" w:lineRule="auto"/>
        <w:ind w:firstLine="480"/>
        <w:rPr>
          <w:rFonts w:ascii="Times New Roman" w:hAnsi="Times New Roman"/>
          <w:bCs/>
          <w:color w:val="auto"/>
          <w:sz w:val="24"/>
          <w:szCs w:val="24"/>
          <w:highlight w:val="none"/>
        </w:rPr>
      </w:pPr>
      <w:r>
        <w:rPr>
          <w:rFonts w:hint="eastAsia" w:ascii="Times New Roman" w:hAnsi="Times New Roman"/>
          <w:bCs/>
          <w:color w:val="auto"/>
          <w:sz w:val="24"/>
          <w:szCs w:val="24"/>
          <w:highlight w:val="none"/>
        </w:rPr>
        <w:t>二次产品需利用不少于</w:t>
      </w:r>
      <w:r>
        <w:rPr>
          <w:rFonts w:ascii="Times New Roman" w:hAnsi="Times New Roman"/>
          <w:bCs/>
          <w:color w:val="auto"/>
          <w:sz w:val="24"/>
          <w:szCs w:val="24"/>
          <w:highlight w:val="none"/>
        </w:rPr>
        <w:t>3</w:t>
      </w:r>
      <w:r>
        <w:rPr>
          <w:rFonts w:hint="eastAsia" w:ascii="Times New Roman" w:hAnsi="Times New Roman"/>
          <w:bCs/>
          <w:color w:val="auto"/>
          <w:sz w:val="24"/>
          <w:szCs w:val="24"/>
          <w:highlight w:val="none"/>
        </w:rPr>
        <w:t>年的雷达标准数据集，对产品的合理性进行评估，即利用探测覆盖区域重叠的最相邻机械扫描雷达生成的对应产品进行一致性、连续性对比，判断产品的变化是否一致，前后时序变化是否连续等。</w:t>
      </w:r>
    </w:p>
    <w:p w14:paraId="57DD3876">
      <w:pPr>
        <w:tabs>
          <w:tab w:val="left" w:pos="2340"/>
        </w:tabs>
        <w:spacing w:line="360" w:lineRule="auto"/>
        <w:jc w:val="center"/>
        <w:rPr>
          <w:rFonts w:ascii="Times New Roman" w:hAnsi="Times New Roman"/>
          <w:b/>
          <w:color w:val="auto"/>
          <w:sz w:val="24"/>
          <w:szCs w:val="24"/>
          <w:highlight w:val="none"/>
        </w:rPr>
      </w:pPr>
      <w:r>
        <w:rPr>
          <w:rFonts w:hint="eastAsia" w:ascii="Times New Roman" w:hAnsi="Times New Roman"/>
          <w:b/>
          <w:color w:val="auto"/>
          <w:sz w:val="24"/>
          <w:szCs w:val="24"/>
          <w:highlight w:val="none"/>
        </w:rPr>
        <w:t>表</w:t>
      </w:r>
      <w:r>
        <w:rPr>
          <w:rFonts w:ascii="Times New Roman" w:hAnsi="Times New Roman"/>
          <w:b/>
          <w:color w:val="auto"/>
          <w:sz w:val="24"/>
          <w:szCs w:val="24"/>
          <w:highlight w:val="none"/>
        </w:rPr>
        <w:t xml:space="preserve">11 </w:t>
      </w:r>
      <w:r>
        <w:rPr>
          <w:rFonts w:hint="eastAsia" w:ascii="Times New Roman" w:hAnsi="Times New Roman"/>
          <w:b/>
          <w:color w:val="auto"/>
          <w:sz w:val="24"/>
          <w:szCs w:val="24"/>
          <w:highlight w:val="none"/>
        </w:rPr>
        <w:t>二次产品列表</w:t>
      </w:r>
    </w:p>
    <w:tbl>
      <w:tblPr>
        <w:tblStyle w:val="16"/>
        <w:tblW w:w="5001"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09"/>
        <w:gridCol w:w="1371"/>
        <w:gridCol w:w="4037"/>
        <w:gridCol w:w="2191"/>
      </w:tblGrid>
      <w:tr w14:paraId="6914B1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481" w:type="pct"/>
            <w:vAlign w:val="center"/>
          </w:tcPr>
          <w:p w14:paraId="6FC8C84C">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hint="eastAsia" w:ascii="Times New Roman" w:hAnsi="Times New Roman"/>
                <w:b/>
                <w:bCs/>
                <w:color w:val="auto"/>
                <w:spacing w:val="-11"/>
                <w:sz w:val="24"/>
                <w:szCs w:val="24"/>
                <w:highlight w:val="none"/>
              </w:rPr>
              <w:t>序号</w:t>
            </w:r>
          </w:p>
        </w:tc>
        <w:tc>
          <w:tcPr>
            <w:tcW w:w="815" w:type="pct"/>
            <w:vAlign w:val="center"/>
          </w:tcPr>
          <w:p w14:paraId="154D84D1">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hint="eastAsia" w:ascii="Times New Roman" w:hAnsi="Times New Roman"/>
                <w:b/>
                <w:bCs/>
                <w:color w:val="auto"/>
                <w:spacing w:val="-12"/>
                <w:sz w:val="24"/>
                <w:szCs w:val="24"/>
                <w:highlight w:val="none"/>
              </w:rPr>
              <w:t>类别</w:t>
            </w:r>
          </w:p>
        </w:tc>
        <w:tc>
          <w:tcPr>
            <w:tcW w:w="2400" w:type="pct"/>
            <w:vAlign w:val="center"/>
          </w:tcPr>
          <w:p w14:paraId="7474727B">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hint="eastAsia" w:ascii="Times New Roman" w:hAnsi="Times New Roman"/>
                <w:b/>
                <w:bCs/>
                <w:color w:val="auto"/>
                <w:spacing w:val="-9"/>
                <w:sz w:val="24"/>
                <w:szCs w:val="24"/>
                <w:highlight w:val="none"/>
              </w:rPr>
              <w:t>产品名称</w:t>
            </w:r>
          </w:p>
        </w:tc>
        <w:tc>
          <w:tcPr>
            <w:tcW w:w="1302" w:type="pct"/>
            <w:vAlign w:val="center"/>
          </w:tcPr>
          <w:p w14:paraId="46332A0B">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hint="eastAsia" w:ascii="Times New Roman" w:hAnsi="Times New Roman"/>
                <w:b/>
                <w:bCs/>
                <w:color w:val="auto"/>
                <w:spacing w:val="-9"/>
                <w:sz w:val="24"/>
                <w:szCs w:val="24"/>
                <w:highlight w:val="none"/>
              </w:rPr>
              <w:t>产品标识</w:t>
            </w:r>
          </w:p>
        </w:tc>
      </w:tr>
      <w:tr w14:paraId="61E4A7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481" w:type="pct"/>
            <w:vAlign w:val="center"/>
          </w:tcPr>
          <w:p w14:paraId="620A2CC7">
            <w:pPr>
              <w:pStyle w:val="17"/>
              <w:widowControl/>
              <w:kinsoku w:val="0"/>
              <w:autoSpaceDE w:val="0"/>
              <w:autoSpaceDN w:val="0"/>
              <w:adjustRightInd w:val="0"/>
              <w:snapToGrid w:val="0"/>
              <w:spacing w:line="360" w:lineRule="auto"/>
              <w:ind w:firstLine="0" w:firstLineChars="0"/>
              <w:jc w:val="center"/>
              <w:textAlignment w:val="baseline"/>
              <w:rPr>
                <w:rFonts w:ascii="Times New Roman" w:hAnsi="Times New Roman" w:cs="Times New Roman"/>
                <w:color w:val="auto"/>
                <w:highlight w:val="none"/>
              </w:rPr>
            </w:pPr>
            <w:r>
              <w:rPr>
                <w:rFonts w:ascii="Times New Roman" w:hAnsi="Times New Roman" w:cs="Times New Roman"/>
                <w:color w:val="auto"/>
                <w:highlight w:val="none"/>
              </w:rPr>
              <w:t>1</w:t>
            </w:r>
          </w:p>
        </w:tc>
        <w:tc>
          <w:tcPr>
            <w:tcW w:w="815" w:type="pct"/>
            <w:vMerge w:val="restart"/>
            <w:vAlign w:val="center"/>
          </w:tcPr>
          <w:p w14:paraId="5152B5B2">
            <w:pPr>
              <w:pStyle w:val="17"/>
              <w:widowControl/>
              <w:kinsoku w:val="0"/>
              <w:autoSpaceDE w:val="0"/>
              <w:autoSpaceDN w:val="0"/>
              <w:adjustRightInd w:val="0"/>
              <w:snapToGrid w:val="0"/>
              <w:spacing w:line="360" w:lineRule="auto"/>
              <w:ind w:firstLine="0" w:firstLineChars="0"/>
              <w:jc w:val="center"/>
              <w:textAlignment w:val="baseline"/>
              <w:rPr>
                <w:rFonts w:ascii="Times New Roman" w:hAnsi="Times New Roman" w:cs="Times New Roman"/>
                <w:color w:val="auto"/>
                <w:highlight w:val="none"/>
              </w:rPr>
            </w:pPr>
            <w:r>
              <w:rPr>
                <w:rFonts w:hint="eastAsia" w:ascii="Times New Roman" w:hAnsi="Times New Roman" w:cs="Times New Roman"/>
                <w:color w:val="auto"/>
                <w:spacing w:val="-7"/>
                <w:highlight w:val="none"/>
              </w:rPr>
              <w:t>物理量产</w:t>
            </w:r>
          </w:p>
          <w:p w14:paraId="2F5538DA">
            <w:pPr>
              <w:pStyle w:val="17"/>
              <w:widowControl/>
              <w:kinsoku w:val="0"/>
              <w:autoSpaceDE w:val="0"/>
              <w:autoSpaceDN w:val="0"/>
              <w:adjustRightInd w:val="0"/>
              <w:snapToGrid w:val="0"/>
              <w:spacing w:line="360" w:lineRule="auto"/>
              <w:ind w:firstLine="0" w:firstLineChars="0"/>
              <w:jc w:val="center"/>
              <w:textAlignment w:val="baseline"/>
              <w:rPr>
                <w:rFonts w:ascii="Times New Roman" w:hAnsi="Times New Roman" w:cs="Times New Roman"/>
                <w:color w:val="auto"/>
                <w:highlight w:val="none"/>
              </w:rPr>
            </w:pPr>
            <w:r>
              <w:rPr>
                <w:rFonts w:hint="eastAsia" w:ascii="Times New Roman" w:hAnsi="Times New Roman" w:cs="Times New Roman"/>
                <w:color w:val="auto"/>
                <w:highlight w:val="none"/>
              </w:rPr>
              <w:t>品</w:t>
            </w:r>
          </w:p>
        </w:tc>
        <w:tc>
          <w:tcPr>
            <w:tcW w:w="2400" w:type="pct"/>
            <w:vAlign w:val="center"/>
          </w:tcPr>
          <w:p w14:paraId="2B96A68B">
            <w:pPr>
              <w:pStyle w:val="17"/>
              <w:widowControl/>
              <w:kinsoku w:val="0"/>
              <w:autoSpaceDE w:val="0"/>
              <w:autoSpaceDN w:val="0"/>
              <w:adjustRightInd w:val="0"/>
              <w:snapToGrid w:val="0"/>
              <w:spacing w:line="360" w:lineRule="auto"/>
              <w:ind w:firstLine="0" w:firstLineChars="0"/>
              <w:jc w:val="center"/>
              <w:textAlignment w:val="baseline"/>
              <w:rPr>
                <w:rFonts w:ascii="Times New Roman" w:hAnsi="Times New Roman" w:cs="Times New Roman"/>
                <w:color w:val="auto"/>
                <w:highlight w:val="none"/>
              </w:rPr>
            </w:pPr>
            <w:r>
              <w:rPr>
                <w:rFonts w:hint="eastAsia" w:ascii="Times New Roman" w:hAnsi="Times New Roman" w:cs="Times New Roman"/>
                <w:color w:val="auto"/>
                <w:spacing w:val="-14"/>
                <w:highlight w:val="none"/>
              </w:rPr>
              <w:t>回波顶高</w:t>
            </w:r>
          </w:p>
        </w:tc>
        <w:tc>
          <w:tcPr>
            <w:tcW w:w="1302" w:type="pct"/>
            <w:vAlign w:val="center"/>
          </w:tcPr>
          <w:p w14:paraId="6F73C571">
            <w:pPr>
              <w:pStyle w:val="17"/>
              <w:widowControl/>
              <w:kinsoku w:val="0"/>
              <w:autoSpaceDE w:val="0"/>
              <w:autoSpaceDN w:val="0"/>
              <w:adjustRightInd w:val="0"/>
              <w:snapToGrid w:val="0"/>
              <w:spacing w:line="360" w:lineRule="auto"/>
              <w:ind w:firstLine="0" w:firstLineChars="0"/>
              <w:jc w:val="center"/>
              <w:textAlignment w:val="baseline"/>
              <w:rPr>
                <w:rFonts w:ascii="Times New Roman" w:hAnsi="Times New Roman" w:cs="Times New Roman"/>
                <w:color w:val="auto"/>
                <w:highlight w:val="none"/>
              </w:rPr>
            </w:pPr>
            <w:r>
              <w:rPr>
                <w:rFonts w:ascii="Times New Roman" w:hAnsi="Times New Roman" w:cs="Times New Roman"/>
                <w:color w:val="auto"/>
                <w:spacing w:val="-3"/>
                <w:highlight w:val="none"/>
              </w:rPr>
              <w:t>ET</w:t>
            </w:r>
          </w:p>
        </w:tc>
      </w:tr>
      <w:tr w14:paraId="373427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481" w:type="pct"/>
            <w:vAlign w:val="center"/>
          </w:tcPr>
          <w:p w14:paraId="41B8F568">
            <w:pPr>
              <w:pStyle w:val="17"/>
              <w:widowControl/>
              <w:kinsoku w:val="0"/>
              <w:autoSpaceDE w:val="0"/>
              <w:autoSpaceDN w:val="0"/>
              <w:adjustRightInd w:val="0"/>
              <w:snapToGrid w:val="0"/>
              <w:spacing w:line="360" w:lineRule="auto"/>
              <w:ind w:firstLine="0" w:firstLineChars="0"/>
              <w:jc w:val="center"/>
              <w:textAlignment w:val="baseline"/>
              <w:rPr>
                <w:rFonts w:ascii="Times New Roman" w:hAnsi="Times New Roman" w:cs="Times New Roman"/>
                <w:color w:val="auto"/>
                <w:highlight w:val="none"/>
              </w:rPr>
            </w:pPr>
            <w:r>
              <w:rPr>
                <w:rFonts w:ascii="Times New Roman" w:hAnsi="Times New Roman" w:cs="Times New Roman"/>
                <w:color w:val="auto"/>
                <w:highlight w:val="none"/>
              </w:rPr>
              <w:t>2</w:t>
            </w:r>
          </w:p>
        </w:tc>
        <w:tc>
          <w:tcPr>
            <w:tcW w:w="815" w:type="pct"/>
            <w:vMerge w:val="continue"/>
            <w:vAlign w:val="center"/>
          </w:tcPr>
          <w:p w14:paraId="00CE7AA3">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p>
        </w:tc>
        <w:tc>
          <w:tcPr>
            <w:tcW w:w="2400" w:type="pct"/>
            <w:vAlign w:val="center"/>
          </w:tcPr>
          <w:p w14:paraId="520BD207">
            <w:pPr>
              <w:pStyle w:val="17"/>
              <w:widowControl/>
              <w:kinsoku w:val="0"/>
              <w:autoSpaceDE w:val="0"/>
              <w:autoSpaceDN w:val="0"/>
              <w:adjustRightInd w:val="0"/>
              <w:snapToGrid w:val="0"/>
              <w:spacing w:line="360" w:lineRule="auto"/>
              <w:ind w:firstLine="0" w:firstLineChars="0"/>
              <w:jc w:val="center"/>
              <w:textAlignment w:val="baseline"/>
              <w:rPr>
                <w:rFonts w:ascii="Times New Roman" w:hAnsi="Times New Roman" w:cs="Times New Roman"/>
                <w:color w:val="auto"/>
                <w:highlight w:val="none"/>
              </w:rPr>
            </w:pPr>
            <w:r>
              <w:rPr>
                <w:rFonts w:hint="eastAsia" w:ascii="Times New Roman" w:hAnsi="Times New Roman" w:cs="Times New Roman"/>
                <w:color w:val="auto"/>
                <w:spacing w:val="-14"/>
                <w:highlight w:val="none"/>
              </w:rPr>
              <w:t>回波底高</w:t>
            </w:r>
          </w:p>
        </w:tc>
        <w:tc>
          <w:tcPr>
            <w:tcW w:w="1302" w:type="pct"/>
            <w:vAlign w:val="center"/>
          </w:tcPr>
          <w:p w14:paraId="119FE7A1">
            <w:pPr>
              <w:pStyle w:val="17"/>
              <w:widowControl/>
              <w:kinsoku w:val="0"/>
              <w:autoSpaceDE w:val="0"/>
              <w:autoSpaceDN w:val="0"/>
              <w:adjustRightInd w:val="0"/>
              <w:snapToGrid w:val="0"/>
              <w:spacing w:line="360" w:lineRule="auto"/>
              <w:ind w:firstLine="0" w:firstLineChars="0"/>
              <w:jc w:val="center"/>
              <w:textAlignment w:val="baseline"/>
              <w:rPr>
                <w:rFonts w:ascii="Times New Roman" w:hAnsi="Times New Roman" w:cs="Times New Roman"/>
                <w:color w:val="auto"/>
                <w:highlight w:val="none"/>
              </w:rPr>
            </w:pPr>
            <w:r>
              <w:rPr>
                <w:rFonts w:ascii="Times New Roman" w:hAnsi="Times New Roman" w:cs="Times New Roman"/>
                <w:color w:val="auto"/>
                <w:spacing w:val="-3"/>
                <w:highlight w:val="none"/>
              </w:rPr>
              <w:t>EB</w:t>
            </w:r>
          </w:p>
        </w:tc>
      </w:tr>
      <w:tr w14:paraId="27BE51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481" w:type="pct"/>
            <w:vAlign w:val="center"/>
          </w:tcPr>
          <w:p w14:paraId="639BBB6F">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3</w:t>
            </w:r>
          </w:p>
        </w:tc>
        <w:tc>
          <w:tcPr>
            <w:tcW w:w="815" w:type="pct"/>
            <w:vMerge w:val="continue"/>
            <w:vAlign w:val="center"/>
          </w:tcPr>
          <w:p w14:paraId="490BA288">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p>
        </w:tc>
        <w:tc>
          <w:tcPr>
            <w:tcW w:w="2400" w:type="pct"/>
            <w:vAlign w:val="center"/>
          </w:tcPr>
          <w:p w14:paraId="4DD130A0">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hint="eastAsia" w:ascii="Times New Roman" w:hAnsi="Times New Roman"/>
                <w:color w:val="auto"/>
                <w:spacing w:val="-7"/>
                <w:sz w:val="24"/>
                <w:szCs w:val="24"/>
                <w:highlight w:val="none"/>
              </w:rPr>
              <w:t>垂直积分液态水</w:t>
            </w:r>
          </w:p>
        </w:tc>
        <w:tc>
          <w:tcPr>
            <w:tcW w:w="1302" w:type="pct"/>
            <w:vAlign w:val="center"/>
          </w:tcPr>
          <w:p w14:paraId="24241411">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pacing w:val="-2"/>
                <w:sz w:val="24"/>
                <w:szCs w:val="24"/>
                <w:highlight w:val="none"/>
              </w:rPr>
              <w:t>VIL</w:t>
            </w:r>
          </w:p>
        </w:tc>
      </w:tr>
      <w:tr w14:paraId="2B228F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481" w:type="pct"/>
            <w:vAlign w:val="center"/>
          </w:tcPr>
          <w:p w14:paraId="04572FCA">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4</w:t>
            </w:r>
          </w:p>
        </w:tc>
        <w:tc>
          <w:tcPr>
            <w:tcW w:w="815" w:type="pct"/>
            <w:vMerge w:val="continue"/>
            <w:vAlign w:val="center"/>
          </w:tcPr>
          <w:p w14:paraId="04CB9A7D">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p>
        </w:tc>
        <w:tc>
          <w:tcPr>
            <w:tcW w:w="2400" w:type="pct"/>
            <w:vAlign w:val="center"/>
          </w:tcPr>
          <w:p w14:paraId="38E2393B">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hint="eastAsia" w:ascii="Times New Roman" w:hAnsi="Times New Roman"/>
                <w:color w:val="auto"/>
                <w:spacing w:val="-7"/>
                <w:sz w:val="24"/>
                <w:szCs w:val="24"/>
                <w:highlight w:val="none"/>
              </w:rPr>
              <w:t>最强回波高度</w:t>
            </w:r>
          </w:p>
        </w:tc>
        <w:tc>
          <w:tcPr>
            <w:tcW w:w="1302" w:type="pct"/>
            <w:vAlign w:val="center"/>
          </w:tcPr>
          <w:p w14:paraId="268A2845">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pacing w:val="-2"/>
                <w:sz w:val="24"/>
                <w:szCs w:val="24"/>
                <w:highlight w:val="none"/>
              </w:rPr>
              <w:t>HMAX</w:t>
            </w:r>
          </w:p>
        </w:tc>
      </w:tr>
      <w:tr w14:paraId="7FE4D2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481" w:type="pct"/>
            <w:vAlign w:val="center"/>
          </w:tcPr>
          <w:p w14:paraId="33C403A3">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5</w:t>
            </w:r>
          </w:p>
        </w:tc>
        <w:tc>
          <w:tcPr>
            <w:tcW w:w="815" w:type="pct"/>
            <w:vMerge w:val="continue"/>
            <w:vAlign w:val="center"/>
          </w:tcPr>
          <w:p w14:paraId="7871EAFB">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p>
        </w:tc>
        <w:tc>
          <w:tcPr>
            <w:tcW w:w="2400" w:type="pct"/>
            <w:vAlign w:val="center"/>
          </w:tcPr>
          <w:p w14:paraId="44526E27">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hint="eastAsia" w:ascii="Times New Roman" w:hAnsi="Times New Roman"/>
                <w:color w:val="auto"/>
                <w:spacing w:val="-6"/>
                <w:sz w:val="24"/>
                <w:szCs w:val="24"/>
                <w:highlight w:val="none"/>
              </w:rPr>
              <w:t>组合反射率</w:t>
            </w:r>
          </w:p>
        </w:tc>
        <w:tc>
          <w:tcPr>
            <w:tcW w:w="1302" w:type="pct"/>
            <w:vAlign w:val="center"/>
          </w:tcPr>
          <w:p w14:paraId="3FBB2834">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pacing w:val="-4"/>
                <w:sz w:val="24"/>
                <w:szCs w:val="24"/>
                <w:highlight w:val="none"/>
              </w:rPr>
              <w:t>CR</w:t>
            </w:r>
          </w:p>
        </w:tc>
      </w:tr>
      <w:tr w14:paraId="377C05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481" w:type="pct"/>
            <w:vAlign w:val="center"/>
          </w:tcPr>
          <w:p w14:paraId="61B1BCC8">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6</w:t>
            </w:r>
          </w:p>
        </w:tc>
        <w:tc>
          <w:tcPr>
            <w:tcW w:w="815" w:type="pct"/>
            <w:vMerge w:val="continue"/>
            <w:vAlign w:val="center"/>
          </w:tcPr>
          <w:p w14:paraId="02D3D443">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p>
        </w:tc>
        <w:tc>
          <w:tcPr>
            <w:tcW w:w="2400" w:type="pct"/>
            <w:vAlign w:val="center"/>
          </w:tcPr>
          <w:p w14:paraId="10630E46">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hint="eastAsia" w:ascii="Times New Roman" w:hAnsi="Times New Roman"/>
                <w:color w:val="auto"/>
                <w:spacing w:val="-6"/>
                <w:sz w:val="24"/>
                <w:szCs w:val="24"/>
                <w:highlight w:val="none"/>
              </w:rPr>
              <w:t>反射率等高平面位置显示</w:t>
            </w:r>
          </w:p>
        </w:tc>
        <w:tc>
          <w:tcPr>
            <w:tcW w:w="1302" w:type="pct"/>
            <w:vAlign w:val="center"/>
          </w:tcPr>
          <w:p w14:paraId="0C163744">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pacing w:val="-3"/>
                <w:sz w:val="24"/>
                <w:szCs w:val="24"/>
                <w:highlight w:val="none"/>
              </w:rPr>
              <w:t>CAP</w:t>
            </w:r>
          </w:p>
        </w:tc>
      </w:tr>
      <w:tr w14:paraId="2A7D24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481" w:type="pct"/>
            <w:vAlign w:val="center"/>
          </w:tcPr>
          <w:p w14:paraId="686A8C68">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7</w:t>
            </w:r>
          </w:p>
        </w:tc>
        <w:tc>
          <w:tcPr>
            <w:tcW w:w="815" w:type="pct"/>
            <w:vMerge w:val="continue"/>
            <w:vAlign w:val="center"/>
          </w:tcPr>
          <w:p w14:paraId="74D07655">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p>
        </w:tc>
        <w:tc>
          <w:tcPr>
            <w:tcW w:w="2400" w:type="pct"/>
            <w:vAlign w:val="center"/>
          </w:tcPr>
          <w:p w14:paraId="5323FA75">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hint="eastAsia" w:ascii="Times New Roman" w:hAnsi="Times New Roman"/>
                <w:color w:val="auto"/>
                <w:spacing w:val="-6"/>
                <w:sz w:val="24"/>
                <w:szCs w:val="24"/>
                <w:highlight w:val="none"/>
              </w:rPr>
              <w:t>速度方位显示</w:t>
            </w:r>
          </w:p>
        </w:tc>
        <w:tc>
          <w:tcPr>
            <w:tcW w:w="1302" w:type="pct"/>
            <w:vAlign w:val="center"/>
          </w:tcPr>
          <w:p w14:paraId="178A2BA9">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pacing w:val="-2"/>
                <w:sz w:val="24"/>
                <w:szCs w:val="24"/>
                <w:highlight w:val="none"/>
              </w:rPr>
              <w:t>VAD</w:t>
            </w:r>
          </w:p>
        </w:tc>
      </w:tr>
      <w:tr w14:paraId="1A5F91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481" w:type="pct"/>
            <w:vAlign w:val="center"/>
          </w:tcPr>
          <w:p w14:paraId="686E82D1">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8</w:t>
            </w:r>
          </w:p>
        </w:tc>
        <w:tc>
          <w:tcPr>
            <w:tcW w:w="815" w:type="pct"/>
            <w:vMerge w:val="continue"/>
            <w:vAlign w:val="center"/>
          </w:tcPr>
          <w:p w14:paraId="67161546">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p>
        </w:tc>
        <w:tc>
          <w:tcPr>
            <w:tcW w:w="2400" w:type="pct"/>
            <w:vAlign w:val="center"/>
          </w:tcPr>
          <w:p w14:paraId="43F34FEC">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hint="eastAsia" w:ascii="Times New Roman" w:hAnsi="Times New Roman"/>
                <w:color w:val="auto"/>
                <w:spacing w:val="-5"/>
                <w:sz w:val="24"/>
                <w:szCs w:val="24"/>
                <w:highlight w:val="none"/>
              </w:rPr>
              <w:t>速度方位显示风廓线</w:t>
            </w:r>
          </w:p>
        </w:tc>
        <w:tc>
          <w:tcPr>
            <w:tcW w:w="1302" w:type="pct"/>
            <w:vAlign w:val="center"/>
          </w:tcPr>
          <w:p w14:paraId="347078D2">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pacing w:val="-2"/>
                <w:sz w:val="24"/>
                <w:szCs w:val="24"/>
                <w:highlight w:val="none"/>
              </w:rPr>
              <w:t>VWP</w:t>
            </w:r>
          </w:p>
        </w:tc>
      </w:tr>
      <w:tr w14:paraId="693975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481" w:type="pct"/>
            <w:vAlign w:val="center"/>
          </w:tcPr>
          <w:p w14:paraId="497753E9">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9</w:t>
            </w:r>
          </w:p>
        </w:tc>
        <w:tc>
          <w:tcPr>
            <w:tcW w:w="815" w:type="pct"/>
            <w:vMerge w:val="continue"/>
            <w:vAlign w:val="center"/>
          </w:tcPr>
          <w:p w14:paraId="5292CB43">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p>
        </w:tc>
        <w:tc>
          <w:tcPr>
            <w:tcW w:w="2400" w:type="pct"/>
            <w:vAlign w:val="center"/>
          </w:tcPr>
          <w:p w14:paraId="41B2B3D3">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pacing w:val="-8"/>
                <w:sz w:val="24"/>
                <w:szCs w:val="24"/>
                <w:highlight w:val="none"/>
              </w:rPr>
              <w:t>1</w:t>
            </w:r>
            <w:r>
              <w:rPr>
                <w:rFonts w:hint="eastAsia" w:ascii="Times New Roman" w:hAnsi="Times New Roman"/>
                <w:color w:val="auto"/>
                <w:spacing w:val="-8"/>
                <w:sz w:val="24"/>
                <w:szCs w:val="24"/>
                <w:highlight w:val="none"/>
              </w:rPr>
              <w:t>小时累积降水量</w:t>
            </w:r>
          </w:p>
        </w:tc>
        <w:tc>
          <w:tcPr>
            <w:tcW w:w="1302" w:type="pct"/>
            <w:vAlign w:val="center"/>
          </w:tcPr>
          <w:p w14:paraId="1CD81E41">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pacing w:val="-4"/>
                <w:sz w:val="24"/>
                <w:szCs w:val="24"/>
                <w:highlight w:val="none"/>
              </w:rPr>
              <w:t>OHP</w:t>
            </w:r>
          </w:p>
        </w:tc>
      </w:tr>
      <w:tr w14:paraId="6E4B73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481" w:type="pct"/>
            <w:vAlign w:val="center"/>
          </w:tcPr>
          <w:p w14:paraId="2E3FDA07">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pacing w:val="-14"/>
                <w:sz w:val="24"/>
                <w:szCs w:val="24"/>
                <w:highlight w:val="none"/>
              </w:rPr>
              <w:t>10</w:t>
            </w:r>
          </w:p>
        </w:tc>
        <w:tc>
          <w:tcPr>
            <w:tcW w:w="815" w:type="pct"/>
            <w:vMerge w:val="continue"/>
            <w:vAlign w:val="center"/>
          </w:tcPr>
          <w:p w14:paraId="7320EFDB">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p>
        </w:tc>
        <w:tc>
          <w:tcPr>
            <w:tcW w:w="2400" w:type="pct"/>
            <w:vAlign w:val="center"/>
          </w:tcPr>
          <w:p w14:paraId="5FCF55D9">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pacing w:val="-7"/>
                <w:sz w:val="24"/>
                <w:szCs w:val="24"/>
                <w:highlight w:val="none"/>
              </w:rPr>
              <w:t>3</w:t>
            </w:r>
            <w:r>
              <w:rPr>
                <w:rFonts w:hint="eastAsia" w:ascii="Times New Roman" w:hAnsi="Times New Roman"/>
                <w:color w:val="auto"/>
                <w:spacing w:val="-7"/>
                <w:sz w:val="24"/>
                <w:szCs w:val="24"/>
                <w:highlight w:val="none"/>
              </w:rPr>
              <w:t>小时累积降水量</w:t>
            </w:r>
          </w:p>
        </w:tc>
        <w:tc>
          <w:tcPr>
            <w:tcW w:w="1302" w:type="pct"/>
            <w:vAlign w:val="center"/>
          </w:tcPr>
          <w:p w14:paraId="6B811C7D">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pacing w:val="-3"/>
                <w:sz w:val="24"/>
                <w:szCs w:val="24"/>
                <w:highlight w:val="none"/>
              </w:rPr>
              <w:t>THP</w:t>
            </w:r>
          </w:p>
        </w:tc>
      </w:tr>
      <w:tr w14:paraId="202B67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481" w:type="pct"/>
            <w:vAlign w:val="center"/>
          </w:tcPr>
          <w:p w14:paraId="32414BE4">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pacing w:val="-14"/>
                <w:sz w:val="24"/>
                <w:szCs w:val="24"/>
                <w:highlight w:val="none"/>
              </w:rPr>
              <w:t>11</w:t>
            </w:r>
          </w:p>
        </w:tc>
        <w:tc>
          <w:tcPr>
            <w:tcW w:w="815" w:type="pct"/>
            <w:vMerge w:val="continue"/>
            <w:vAlign w:val="center"/>
          </w:tcPr>
          <w:p w14:paraId="3415FC34">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p>
        </w:tc>
        <w:tc>
          <w:tcPr>
            <w:tcW w:w="2400" w:type="pct"/>
            <w:vAlign w:val="center"/>
          </w:tcPr>
          <w:p w14:paraId="48A28837">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pacing w:val="-5"/>
                <w:sz w:val="24"/>
                <w:szCs w:val="24"/>
                <w:highlight w:val="none"/>
              </w:rPr>
              <w:t>N</w:t>
            </w:r>
            <w:r>
              <w:rPr>
                <w:rFonts w:hint="eastAsia" w:ascii="Times New Roman" w:hAnsi="Times New Roman"/>
                <w:color w:val="auto"/>
                <w:spacing w:val="-5"/>
                <w:sz w:val="24"/>
                <w:szCs w:val="24"/>
                <w:highlight w:val="none"/>
              </w:rPr>
              <w:t>小时累积降水量</w:t>
            </w:r>
          </w:p>
        </w:tc>
        <w:tc>
          <w:tcPr>
            <w:tcW w:w="1302" w:type="pct"/>
            <w:vAlign w:val="center"/>
          </w:tcPr>
          <w:p w14:paraId="78511D43">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pacing w:val="-2"/>
                <w:sz w:val="24"/>
                <w:szCs w:val="24"/>
                <w:highlight w:val="none"/>
              </w:rPr>
              <w:t>NHP</w:t>
            </w:r>
          </w:p>
        </w:tc>
      </w:tr>
      <w:tr w14:paraId="7EF25A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481" w:type="pct"/>
            <w:vAlign w:val="center"/>
          </w:tcPr>
          <w:p w14:paraId="5CB0407D">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pacing w:val="-14"/>
                <w:sz w:val="24"/>
                <w:szCs w:val="24"/>
                <w:highlight w:val="none"/>
              </w:rPr>
              <w:t>12</w:t>
            </w:r>
          </w:p>
        </w:tc>
        <w:tc>
          <w:tcPr>
            <w:tcW w:w="815" w:type="pct"/>
            <w:vMerge w:val="continue"/>
            <w:vAlign w:val="center"/>
          </w:tcPr>
          <w:p w14:paraId="5AFBB6C5">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p>
        </w:tc>
        <w:tc>
          <w:tcPr>
            <w:tcW w:w="2400" w:type="pct"/>
            <w:vAlign w:val="center"/>
          </w:tcPr>
          <w:p w14:paraId="3E1B9E22">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hint="eastAsia" w:ascii="Times New Roman" w:hAnsi="Times New Roman"/>
                <w:color w:val="auto"/>
                <w:spacing w:val="-8"/>
                <w:sz w:val="24"/>
                <w:szCs w:val="24"/>
                <w:highlight w:val="none"/>
              </w:rPr>
              <w:t>质心高度</w:t>
            </w:r>
          </w:p>
        </w:tc>
        <w:tc>
          <w:tcPr>
            <w:tcW w:w="1302" w:type="pct"/>
            <w:vAlign w:val="center"/>
          </w:tcPr>
          <w:p w14:paraId="711176AA">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pacing w:val="-3"/>
                <w:sz w:val="24"/>
                <w:szCs w:val="24"/>
                <w:highlight w:val="none"/>
              </w:rPr>
              <w:t>RCH</w:t>
            </w:r>
          </w:p>
        </w:tc>
      </w:tr>
      <w:tr w14:paraId="647D6D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481" w:type="pct"/>
            <w:vAlign w:val="center"/>
          </w:tcPr>
          <w:p w14:paraId="78F14220">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pacing w:val="-14"/>
                <w:sz w:val="24"/>
                <w:szCs w:val="24"/>
                <w:highlight w:val="none"/>
              </w:rPr>
              <w:t>13</w:t>
            </w:r>
          </w:p>
        </w:tc>
        <w:tc>
          <w:tcPr>
            <w:tcW w:w="815" w:type="pct"/>
            <w:vMerge w:val="continue"/>
            <w:vAlign w:val="center"/>
          </w:tcPr>
          <w:p w14:paraId="0B30F60A">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p>
        </w:tc>
        <w:tc>
          <w:tcPr>
            <w:tcW w:w="2400" w:type="pct"/>
            <w:vAlign w:val="center"/>
          </w:tcPr>
          <w:p w14:paraId="6014A18C">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hint="eastAsia" w:ascii="Times New Roman" w:hAnsi="Times New Roman"/>
                <w:color w:val="auto"/>
                <w:spacing w:val="-7"/>
                <w:sz w:val="24"/>
                <w:szCs w:val="24"/>
                <w:highlight w:val="none"/>
              </w:rPr>
              <w:t>风场反演</w:t>
            </w:r>
          </w:p>
        </w:tc>
        <w:tc>
          <w:tcPr>
            <w:tcW w:w="1302" w:type="pct"/>
            <w:vAlign w:val="center"/>
          </w:tcPr>
          <w:p w14:paraId="6879696E">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pacing w:val="-2"/>
                <w:sz w:val="24"/>
                <w:szCs w:val="24"/>
                <w:highlight w:val="none"/>
              </w:rPr>
              <w:t>WIND</w:t>
            </w:r>
          </w:p>
        </w:tc>
      </w:tr>
      <w:tr w14:paraId="0C908F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481" w:type="pct"/>
            <w:vAlign w:val="center"/>
          </w:tcPr>
          <w:p w14:paraId="5552CEAB">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pacing w:val="-14"/>
                <w:sz w:val="24"/>
                <w:szCs w:val="24"/>
                <w:highlight w:val="none"/>
              </w:rPr>
              <w:t>14</w:t>
            </w:r>
          </w:p>
        </w:tc>
        <w:tc>
          <w:tcPr>
            <w:tcW w:w="815" w:type="pct"/>
            <w:vMerge w:val="continue"/>
            <w:vAlign w:val="center"/>
          </w:tcPr>
          <w:p w14:paraId="5D51E61A">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p>
        </w:tc>
        <w:tc>
          <w:tcPr>
            <w:tcW w:w="2400" w:type="pct"/>
            <w:vAlign w:val="center"/>
          </w:tcPr>
          <w:p w14:paraId="030B5329">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hint="eastAsia" w:ascii="Times New Roman" w:hAnsi="Times New Roman"/>
                <w:color w:val="auto"/>
                <w:spacing w:val="-6"/>
                <w:sz w:val="24"/>
                <w:szCs w:val="24"/>
                <w:highlight w:val="none"/>
              </w:rPr>
              <w:t>风暴相对径向速度</w:t>
            </w:r>
          </w:p>
        </w:tc>
        <w:tc>
          <w:tcPr>
            <w:tcW w:w="1302" w:type="pct"/>
            <w:vAlign w:val="center"/>
          </w:tcPr>
          <w:p w14:paraId="050840E6">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pacing w:val="-4"/>
                <w:sz w:val="24"/>
                <w:szCs w:val="24"/>
                <w:highlight w:val="none"/>
              </w:rPr>
              <w:t>SRM</w:t>
            </w:r>
          </w:p>
        </w:tc>
      </w:tr>
      <w:tr w14:paraId="143E98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481" w:type="pct"/>
            <w:vAlign w:val="center"/>
          </w:tcPr>
          <w:p w14:paraId="3D7D41DD">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pacing w:val="-14"/>
                <w:sz w:val="24"/>
                <w:szCs w:val="24"/>
                <w:highlight w:val="none"/>
              </w:rPr>
              <w:t>15</w:t>
            </w:r>
          </w:p>
        </w:tc>
        <w:tc>
          <w:tcPr>
            <w:tcW w:w="815" w:type="pct"/>
            <w:vMerge w:val="restart"/>
            <w:tcBorders>
              <w:bottom w:val="nil"/>
            </w:tcBorders>
            <w:vAlign w:val="center"/>
          </w:tcPr>
          <w:p w14:paraId="653E0C8C">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hint="eastAsia" w:ascii="Times New Roman" w:hAnsi="Times New Roman"/>
                <w:color w:val="auto"/>
                <w:spacing w:val="-6"/>
                <w:sz w:val="24"/>
                <w:szCs w:val="24"/>
                <w:highlight w:val="none"/>
              </w:rPr>
              <w:t>识别类产</w:t>
            </w:r>
          </w:p>
          <w:p w14:paraId="45A946BA">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品</w:t>
            </w:r>
          </w:p>
        </w:tc>
        <w:tc>
          <w:tcPr>
            <w:tcW w:w="2400" w:type="pct"/>
            <w:vAlign w:val="center"/>
          </w:tcPr>
          <w:p w14:paraId="6AE0DC78">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hint="eastAsia" w:ascii="Times New Roman" w:hAnsi="Times New Roman"/>
                <w:color w:val="auto"/>
                <w:spacing w:val="-7"/>
                <w:sz w:val="24"/>
                <w:szCs w:val="24"/>
                <w:highlight w:val="none"/>
              </w:rPr>
              <w:t>冰雹指数</w:t>
            </w:r>
          </w:p>
        </w:tc>
        <w:tc>
          <w:tcPr>
            <w:tcW w:w="1302" w:type="pct"/>
            <w:vAlign w:val="center"/>
          </w:tcPr>
          <w:p w14:paraId="51F41761">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pacing w:val="-2"/>
                <w:sz w:val="24"/>
                <w:szCs w:val="24"/>
                <w:highlight w:val="none"/>
              </w:rPr>
              <w:t>HI</w:t>
            </w:r>
          </w:p>
        </w:tc>
      </w:tr>
      <w:tr w14:paraId="6F2DF9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481" w:type="pct"/>
            <w:vAlign w:val="center"/>
          </w:tcPr>
          <w:p w14:paraId="421531A6">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pacing w:val="-14"/>
                <w:sz w:val="24"/>
                <w:szCs w:val="24"/>
                <w:highlight w:val="none"/>
              </w:rPr>
              <w:t>16</w:t>
            </w:r>
          </w:p>
        </w:tc>
        <w:tc>
          <w:tcPr>
            <w:tcW w:w="815" w:type="pct"/>
            <w:vMerge w:val="continue"/>
            <w:tcBorders>
              <w:top w:val="nil"/>
              <w:bottom w:val="nil"/>
            </w:tcBorders>
            <w:vAlign w:val="center"/>
          </w:tcPr>
          <w:p w14:paraId="18C313E8">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p>
        </w:tc>
        <w:tc>
          <w:tcPr>
            <w:tcW w:w="2400" w:type="pct"/>
            <w:vAlign w:val="center"/>
          </w:tcPr>
          <w:p w14:paraId="723AB481">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hint="eastAsia" w:ascii="Times New Roman" w:hAnsi="Times New Roman"/>
                <w:color w:val="auto"/>
                <w:spacing w:val="-6"/>
                <w:sz w:val="24"/>
                <w:szCs w:val="24"/>
                <w:highlight w:val="none"/>
              </w:rPr>
              <w:t>风暴追踪信息</w:t>
            </w:r>
          </w:p>
        </w:tc>
        <w:tc>
          <w:tcPr>
            <w:tcW w:w="1302" w:type="pct"/>
            <w:vAlign w:val="center"/>
          </w:tcPr>
          <w:p w14:paraId="70270846">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pacing w:val="-4"/>
                <w:sz w:val="24"/>
                <w:szCs w:val="24"/>
                <w:highlight w:val="none"/>
              </w:rPr>
              <w:t>STI</w:t>
            </w:r>
          </w:p>
        </w:tc>
      </w:tr>
      <w:tr w14:paraId="331FCB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481" w:type="pct"/>
            <w:vAlign w:val="center"/>
          </w:tcPr>
          <w:p w14:paraId="240885AA">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pacing w:val="-14"/>
                <w:sz w:val="24"/>
                <w:szCs w:val="24"/>
                <w:highlight w:val="none"/>
              </w:rPr>
              <w:t>17</w:t>
            </w:r>
          </w:p>
        </w:tc>
        <w:tc>
          <w:tcPr>
            <w:tcW w:w="815" w:type="pct"/>
            <w:vMerge w:val="continue"/>
            <w:tcBorders>
              <w:top w:val="nil"/>
              <w:bottom w:val="nil"/>
            </w:tcBorders>
            <w:vAlign w:val="center"/>
          </w:tcPr>
          <w:p w14:paraId="69AE26C5">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p>
        </w:tc>
        <w:tc>
          <w:tcPr>
            <w:tcW w:w="2400" w:type="pct"/>
            <w:vAlign w:val="center"/>
          </w:tcPr>
          <w:p w14:paraId="40E38ABE">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hint="eastAsia" w:ascii="Times New Roman" w:hAnsi="Times New Roman"/>
                <w:color w:val="auto"/>
                <w:spacing w:val="-6"/>
                <w:sz w:val="24"/>
                <w:szCs w:val="24"/>
                <w:highlight w:val="none"/>
              </w:rPr>
              <w:t>风暴结构分析</w:t>
            </w:r>
          </w:p>
        </w:tc>
        <w:tc>
          <w:tcPr>
            <w:tcW w:w="1302" w:type="pct"/>
            <w:vAlign w:val="center"/>
          </w:tcPr>
          <w:p w14:paraId="6B6FED02">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pacing w:val="-5"/>
                <w:sz w:val="24"/>
                <w:szCs w:val="24"/>
                <w:highlight w:val="none"/>
              </w:rPr>
              <w:t>SS</w:t>
            </w:r>
          </w:p>
        </w:tc>
      </w:tr>
      <w:tr w14:paraId="67DCE2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481" w:type="pct"/>
            <w:vAlign w:val="center"/>
          </w:tcPr>
          <w:p w14:paraId="5DE5C7A6">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pacing w:val="-14"/>
                <w:sz w:val="24"/>
                <w:szCs w:val="24"/>
                <w:highlight w:val="none"/>
              </w:rPr>
              <w:t>18</w:t>
            </w:r>
          </w:p>
        </w:tc>
        <w:tc>
          <w:tcPr>
            <w:tcW w:w="815" w:type="pct"/>
            <w:vMerge w:val="continue"/>
            <w:tcBorders>
              <w:top w:val="nil"/>
              <w:bottom w:val="nil"/>
            </w:tcBorders>
            <w:vAlign w:val="center"/>
          </w:tcPr>
          <w:p w14:paraId="5BE44A7F">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p>
        </w:tc>
        <w:tc>
          <w:tcPr>
            <w:tcW w:w="2400" w:type="pct"/>
            <w:vAlign w:val="center"/>
          </w:tcPr>
          <w:p w14:paraId="357027F8">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hint="eastAsia" w:ascii="Times New Roman" w:hAnsi="Times New Roman"/>
                <w:color w:val="auto"/>
                <w:spacing w:val="-12"/>
                <w:sz w:val="24"/>
                <w:szCs w:val="24"/>
                <w:highlight w:val="none"/>
              </w:rPr>
              <w:t>中尺度气旋</w:t>
            </w:r>
          </w:p>
        </w:tc>
        <w:tc>
          <w:tcPr>
            <w:tcW w:w="1302" w:type="pct"/>
            <w:vAlign w:val="center"/>
          </w:tcPr>
          <w:p w14:paraId="15F9B084">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z w:val="24"/>
                <w:szCs w:val="24"/>
                <w:highlight w:val="none"/>
              </w:rPr>
              <w:t>M</w:t>
            </w:r>
          </w:p>
        </w:tc>
      </w:tr>
      <w:tr w14:paraId="638627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481" w:type="pct"/>
            <w:vAlign w:val="center"/>
          </w:tcPr>
          <w:p w14:paraId="260A9AA4">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pacing w:val="-14"/>
                <w:sz w:val="24"/>
                <w:szCs w:val="24"/>
                <w:highlight w:val="none"/>
              </w:rPr>
              <w:t>19</w:t>
            </w:r>
          </w:p>
        </w:tc>
        <w:tc>
          <w:tcPr>
            <w:tcW w:w="815" w:type="pct"/>
            <w:vMerge w:val="continue"/>
            <w:tcBorders>
              <w:top w:val="nil"/>
              <w:bottom w:val="nil"/>
            </w:tcBorders>
            <w:vAlign w:val="center"/>
          </w:tcPr>
          <w:p w14:paraId="751F6559">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p>
        </w:tc>
        <w:tc>
          <w:tcPr>
            <w:tcW w:w="2400" w:type="pct"/>
            <w:vAlign w:val="center"/>
          </w:tcPr>
          <w:p w14:paraId="345C5D08">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hint="eastAsia" w:ascii="Times New Roman" w:hAnsi="Times New Roman"/>
                <w:color w:val="auto"/>
                <w:spacing w:val="-7"/>
                <w:sz w:val="24"/>
                <w:szCs w:val="24"/>
                <w:highlight w:val="none"/>
              </w:rPr>
              <w:t>龙卷涡旋特征</w:t>
            </w:r>
          </w:p>
        </w:tc>
        <w:tc>
          <w:tcPr>
            <w:tcW w:w="1302" w:type="pct"/>
            <w:vAlign w:val="center"/>
          </w:tcPr>
          <w:p w14:paraId="78181EB2">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pacing w:val="-3"/>
                <w:sz w:val="24"/>
                <w:szCs w:val="24"/>
                <w:highlight w:val="none"/>
              </w:rPr>
              <w:t>TVS</w:t>
            </w:r>
          </w:p>
        </w:tc>
      </w:tr>
      <w:tr w14:paraId="0FA511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481" w:type="pct"/>
            <w:vAlign w:val="center"/>
          </w:tcPr>
          <w:p w14:paraId="2D4A6449">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pacing w:val="-6"/>
                <w:sz w:val="24"/>
                <w:szCs w:val="24"/>
                <w:highlight w:val="none"/>
              </w:rPr>
              <w:t>20</w:t>
            </w:r>
          </w:p>
        </w:tc>
        <w:tc>
          <w:tcPr>
            <w:tcW w:w="815" w:type="pct"/>
            <w:vMerge w:val="continue"/>
            <w:tcBorders>
              <w:top w:val="nil"/>
              <w:bottom w:val="nil"/>
            </w:tcBorders>
            <w:vAlign w:val="center"/>
          </w:tcPr>
          <w:p w14:paraId="74BC7497">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p>
        </w:tc>
        <w:tc>
          <w:tcPr>
            <w:tcW w:w="2400" w:type="pct"/>
            <w:vAlign w:val="center"/>
          </w:tcPr>
          <w:p w14:paraId="18B1FE0A">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hint="eastAsia" w:ascii="Times New Roman" w:hAnsi="Times New Roman"/>
                <w:color w:val="auto"/>
                <w:spacing w:val="-6"/>
                <w:sz w:val="24"/>
                <w:szCs w:val="24"/>
                <w:highlight w:val="none"/>
              </w:rPr>
              <w:t>粒子相态识别</w:t>
            </w:r>
          </w:p>
        </w:tc>
        <w:tc>
          <w:tcPr>
            <w:tcW w:w="1302" w:type="pct"/>
            <w:vAlign w:val="center"/>
          </w:tcPr>
          <w:p w14:paraId="28C7A8DA">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pacing w:val="-2"/>
                <w:sz w:val="24"/>
                <w:szCs w:val="24"/>
                <w:highlight w:val="none"/>
              </w:rPr>
              <w:t>HCL</w:t>
            </w:r>
          </w:p>
        </w:tc>
      </w:tr>
      <w:tr w14:paraId="712CC4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481" w:type="pct"/>
            <w:vAlign w:val="center"/>
          </w:tcPr>
          <w:p w14:paraId="47DDC591">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pacing w:val="-6"/>
                <w:sz w:val="24"/>
                <w:szCs w:val="24"/>
                <w:highlight w:val="none"/>
              </w:rPr>
              <w:t>21</w:t>
            </w:r>
          </w:p>
        </w:tc>
        <w:tc>
          <w:tcPr>
            <w:tcW w:w="815" w:type="pct"/>
            <w:vMerge w:val="continue"/>
            <w:tcBorders>
              <w:top w:val="nil"/>
              <w:bottom w:val="nil"/>
            </w:tcBorders>
            <w:vAlign w:val="center"/>
          </w:tcPr>
          <w:p w14:paraId="4A4DE816">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p>
        </w:tc>
        <w:tc>
          <w:tcPr>
            <w:tcW w:w="2400" w:type="pct"/>
            <w:vAlign w:val="center"/>
          </w:tcPr>
          <w:p w14:paraId="28FE559A">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hint="eastAsia" w:ascii="Times New Roman" w:hAnsi="Times New Roman"/>
                <w:color w:val="auto"/>
                <w:spacing w:val="-7"/>
                <w:sz w:val="24"/>
                <w:szCs w:val="24"/>
                <w:highlight w:val="none"/>
              </w:rPr>
              <w:t>融化层识别</w:t>
            </w:r>
          </w:p>
        </w:tc>
        <w:tc>
          <w:tcPr>
            <w:tcW w:w="1302" w:type="pct"/>
            <w:vAlign w:val="center"/>
          </w:tcPr>
          <w:p w14:paraId="72CBD2FB">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pacing w:val="-1"/>
                <w:sz w:val="24"/>
                <w:szCs w:val="24"/>
                <w:highlight w:val="none"/>
              </w:rPr>
              <w:t>ML</w:t>
            </w:r>
          </w:p>
        </w:tc>
      </w:tr>
      <w:tr w14:paraId="503544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481" w:type="pct"/>
            <w:vAlign w:val="center"/>
          </w:tcPr>
          <w:p w14:paraId="0406B546">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pacing w:val="-6"/>
                <w:sz w:val="24"/>
                <w:szCs w:val="24"/>
                <w:highlight w:val="none"/>
              </w:rPr>
              <w:t>22</w:t>
            </w:r>
          </w:p>
        </w:tc>
        <w:tc>
          <w:tcPr>
            <w:tcW w:w="815" w:type="pct"/>
            <w:vMerge w:val="continue"/>
            <w:tcBorders>
              <w:top w:val="nil"/>
              <w:bottom w:val="nil"/>
            </w:tcBorders>
            <w:vAlign w:val="center"/>
          </w:tcPr>
          <w:p w14:paraId="577024EC">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p>
        </w:tc>
        <w:tc>
          <w:tcPr>
            <w:tcW w:w="2400" w:type="pct"/>
            <w:vAlign w:val="center"/>
          </w:tcPr>
          <w:p w14:paraId="362341DF">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hint="eastAsia" w:ascii="Times New Roman" w:hAnsi="Times New Roman"/>
                <w:color w:val="auto"/>
                <w:spacing w:val="-10"/>
                <w:sz w:val="24"/>
                <w:szCs w:val="24"/>
                <w:highlight w:val="none"/>
              </w:rPr>
              <w:t>雷暴大风</w:t>
            </w:r>
          </w:p>
        </w:tc>
        <w:tc>
          <w:tcPr>
            <w:tcW w:w="1302" w:type="pct"/>
            <w:vAlign w:val="center"/>
          </w:tcPr>
          <w:p w14:paraId="5A5154F3">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pacing w:val="-3"/>
                <w:sz w:val="24"/>
                <w:szCs w:val="24"/>
                <w:highlight w:val="none"/>
              </w:rPr>
              <w:t>TS</w:t>
            </w:r>
          </w:p>
        </w:tc>
      </w:tr>
      <w:tr w14:paraId="1D344F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481" w:type="pct"/>
            <w:vAlign w:val="center"/>
          </w:tcPr>
          <w:p w14:paraId="38CB6A5B">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pacing w:val="-6"/>
                <w:sz w:val="24"/>
                <w:szCs w:val="24"/>
                <w:highlight w:val="none"/>
              </w:rPr>
              <w:t>23</w:t>
            </w:r>
          </w:p>
        </w:tc>
        <w:tc>
          <w:tcPr>
            <w:tcW w:w="815" w:type="pct"/>
            <w:vMerge w:val="continue"/>
            <w:tcBorders>
              <w:top w:val="nil"/>
            </w:tcBorders>
            <w:vAlign w:val="center"/>
          </w:tcPr>
          <w:p w14:paraId="19E7CA41">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p>
        </w:tc>
        <w:tc>
          <w:tcPr>
            <w:tcW w:w="2400" w:type="pct"/>
            <w:vAlign w:val="center"/>
          </w:tcPr>
          <w:p w14:paraId="3FC0D251">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hint="eastAsia" w:ascii="Times New Roman" w:hAnsi="Times New Roman"/>
                <w:color w:val="auto"/>
                <w:spacing w:val="-5"/>
                <w:sz w:val="24"/>
                <w:szCs w:val="24"/>
                <w:highlight w:val="none"/>
              </w:rPr>
              <w:t>双偏振定量降水估测</w:t>
            </w:r>
          </w:p>
        </w:tc>
        <w:tc>
          <w:tcPr>
            <w:tcW w:w="1302" w:type="pct"/>
            <w:vAlign w:val="center"/>
          </w:tcPr>
          <w:p w14:paraId="5F895260">
            <w:pPr>
              <w:widowControl/>
              <w:kinsoku w:val="0"/>
              <w:autoSpaceDE w:val="0"/>
              <w:autoSpaceDN w:val="0"/>
              <w:adjustRightInd w:val="0"/>
              <w:snapToGrid w:val="0"/>
              <w:spacing w:line="360" w:lineRule="auto"/>
              <w:jc w:val="center"/>
              <w:textAlignment w:val="baseline"/>
              <w:rPr>
                <w:rFonts w:ascii="Times New Roman" w:hAnsi="Times New Roman"/>
                <w:color w:val="auto"/>
                <w:sz w:val="24"/>
                <w:szCs w:val="24"/>
                <w:highlight w:val="none"/>
              </w:rPr>
            </w:pPr>
            <w:r>
              <w:rPr>
                <w:rFonts w:ascii="Times New Roman" w:hAnsi="Times New Roman"/>
                <w:color w:val="auto"/>
                <w:spacing w:val="-3"/>
                <w:sz w:val="24"/>
                <w:szCs w:val="24"/>
                <w:highlight w:val="none"/>
              </w:rPr>
              <w:t>QPE</w:t>
            </w:r>
          </w:p>
        </w:tc>
      </w:tr>
    </w:tbl>
    <w:p w14:paraId="6D29C8AA">
      <w:pPr>
        <w:tabs>
          <w:tab w:val="left" w:pos="2340"/>
        </w:tabs>
        <w:spacing w:line="360" w:lineRule="auto"/>
        <w:ind w:firstLine="480"/>
        <w:rPr>
          <w:rFonts w:ascii="Times New Roman" w:hAnsi="Times New Roman"/>
          <w:bCs/>
          <w:color w:val="auto"/>
          <w:sz w:val="24"/>
          <w:szCs w:val="24"/>
          <w:highlight w:val="none"/>
        </w:rPr>
      </w:pPr>
      <w:r>
        <w:rPr>
          <w:rFonts w:hint="eastAsia" w:ascii="Times New Roman" w:hAnsi="Times New Roman"/>
          <w:bCs/>
          <w:color w:val="auto"/>
          <w:sz w:val="24"/>
          <w:szCs w:val="24"/>
          <w:highlight w:val="none"/>
        </w:rPr>
        <w:t>（</w:t>
      </w:r>
      <w:r>
        <w:rPr>
          <w:rFonts w:ascii="Times New Roman" w:hAnsi="Times New Roman"/>
          <w:bCs/>
          <w:color w:val="auto"/>
          <w:sz w:val="24"/>
          <w:szCs w:val="24"/>
          <w:highlight w:val="none"/>
        </w:rPr>
        <w:t>3</w:t>
      </w:r>
      <w:r>
        <w:rPr>
          <w:rFonts w:hint="eastAsia" w:ascii="Times New Roman" w:hAnsi="Times New Roman"/>
          <w:bCs/>
          <w:color w:val="auto"/>
          <w:sz w:val="24"/>
          <w:szCs w:val="24"/>
          <w:highlight w:val="none"/>
        </w:rPr>
        <w:t>）软件功能要求</w:t>
      </w:r>
    </w:p>
    <w:p w14:paraId="60F344E1">
      <w:pPr>
        <w:tabs>
          <w:tab w:val="left" w:pos="2340"/>
        </w:tabs>
        <w:spacing w:line="360" w:lineRule="auto"/>
        <w:ind w:firstLine="480"/>
        <w:rPr>
          <w:rFonts w:ascii="Times New Roman" w:hAnsi="Times New Roman"/>
          <w:bCs/>
          <w:color w:val="auto"/>
          <w:sz w:val="24"/>
          <w:szCs w:val="24"/>
          <w:highlight w:val="none"/>
        </w:rPr>
      </w:pPr>
      <w:r>
        <w:rPr>
          <w:rFonts w:ascii="Times New Roman" w:hAnsi="Times New Roman"/>
          <w:bCs/>
          <w:color w:val="auto"/>
          <w:sz w:val="24"/>
          <w:szCs w:val="24"/>
          <w:highlight w:val="none"/>
        </w:rPr>
        <w:t>1</w:t>
      </w:r>
      <w:r>
        <w:rPr>
          <w:rFonts w:hint="eastAsia" w:ascii="Times New Roman" w:hAnsi="Times New Roman"/>
          <w:bCs/>
          <w:color w:val="auto"/>
          <w:sz w:val="24"/>
          <w:szCs w:val="24"/>
          <w:highlight w:val="none"/>
        </w:rPr>
        <w:t>）产品显示：平面位置产品、距离高度产品、等高面位置产品、二次产品等显示功能。</w:t>
      </w:r>
    </w:p>
    <w:p w14:paraId="3C7F0FE1">
      <w:pPr>
        <w:tabs>
          <w:tab w:val="left" w:pos="2340"/>
        </w:tabs>
        <w:spacing w:line="360" w:lineRule="auto"/>
        <w:ind w:firstLine="480"/>
        <w:rPr>
          <w:rFonts w:ascii="Times New Roman" w:hAnsi="Times New Roman"/>
          <w:bCs/>
          <w:color w:val="auto"/>
          <w:sz w:val="24"/>
          <w:szCs w:val="24"/>
          <w:highlight w:val="none"/>
        </w:rPr>
      </w:pPr>
      <w:r>
        <w:rPr>
          <w:rFonts w:ascii="Times New Roman" w:hAnsi="Times New Roman"/>
          <w:bCs/>
          <w:color w:val="auto"/>
          <w:sz w:val="24"/>
          <w:szCs w:val="24"/>
          <w:highlight w:val="none"/>
        </w:rPr>
        <w:t>2</w:t>
      </w:r>
      <w:r>
        <w:rPr>
          <w:rFonts w:hint="eastAsia" w:ascii="Times New Roman" w:hAnsi="Times New Roman"/>
          <w:bCs/>
          <w:color w:val="auto"/>
          <w:sz w:val="24"/>
          <w:szCs w:val="24"/>
          <w:highlight w:val="none"/>
        </w:rPr>
        <w:t>）分屏显示：二分屏、四分屏等分屏显示功能、支持光标联动信息显示。</w:t>
      </w:r>
    </w:p>
    <w:p w14:paraId="5B388980">
      <w:pPr>
        <w:tabs>
          <w:tab w:val="left" w:pos="2340"/>
        </w:tabs>
        <w:spacing w:line="360" w:lineRule="auto"/>
        <w:ind w:firstLine="480"/>
        <w:rPr>
          <w:rFonts w:ascii="Times New Roman" w:hAnsi="Times New Roman"/>
          <w:bCs/>
          <w:color w:val="auto"/>
          <w:sz w:val="24"/>
          <w:szCs w:val="24"/>
          <w:highlight w:val="none"/>
        </w:rPr>
      </w:pPr>
      <w:r>
        <w:rPr>
          <w:rFonts w:ascii="Times New Roman" w:hAnsi="Times New Roman"/>
          <w:bCs/>
          <w:color w:val="auto"/>
          <w:sz w:val="24"/>
          <w:szCs w:val="24"/>
          <w:highlight w:val="none"/>
        </w:rPr>
        <w:t>3</w:t>
      </w:r>
      <w:r>
        <w:rPr>
          <w:rFonts w:hint="eastAsia" w:ascii="Times New Roman" w:hAnsi="Times New Roman"/>
          <w:bCs/>
          <w:color w:val="auto"/>
          <w:sz w:val="24"/>
          <w:szCs w:val="24"/>
          <w:highlight w:val="none"/>
        </w:rPr>
        <w:t>）垂直剖面：基本产品任意垂直剖面显示功能，支持折线剖面，可同时显示多个产品，可保存图像。</w:t>
      </w:r>
    </w:p>
    <w:p w14:paraId="400E28B7">
      <w:pPr>
        <w:tabs>
          <w:tab w:val="left" w:pos="2340"/>
        </w:tabs>
        <w:spacing w:line="360" w:lineRule="auto"/>
        <w:ind w:firstLine="480"/>
        <w:rPr>
          <w:rFonts w:ascii="Times New Roman" w:hAnsi="Times New Roman"/>
          <w:bCs/>
          <w:color w:val="auto"/>
          <w:sz w:val="24"/>
          <w:szCs w:val="24"/>
          <w:highlight w:val="none"/>
        </w:rPr>
      </w:pPr>
      <w:r>
        <w:rPr>
          <w:rFonts w:ascii="Times New Roman" w:hAnsi="Times New Roman"/>
          <w:bCs/>
          <w:color w:val="auto"/>
          <w:sz w:val="24"/>
          <w:szCs w:val="24"/>
          <w:highlight w:val="none"/>
        </w:rPr>
        <w:t>4</w:t>
      </w:r>
      <w:r>
        <w:rPr>
          <w:rFonts w:hint="eastAsia" w:ascii="Times New Roman" w:hAnsi="Times New Roman"/>
          <w:bCs/>
          <w:color w:val="auto"/>
          <w:sz w:val="24"/>
          <w:szCs w:val="24"/>
          <w:highlight w:val="none"/>
        </w:rPr>
        <w:t>）最大值显示：体扫各层反射率垂直、东西、南北三个方向最大值可投影显示。</w:t>
      </w:r>
    </w:p>
    <w:p w14:paraId="21653798">
      <w:pPr>
        <w:tabs>
          <w:tab w:val="left" w:pos="2340"/>
        </w:tabs>
        <w:spacing w:line="360" w:lineRule="auto"/>
        <w:ind w:firstLine="480"/>
        <w:rPr>
          <w:rFonts w:ascii="Times New Roman" w:hAnsi="Times New Roman"/>
          <w:bCs/>
          <w:color w:val="auto"/>
          <w:sz w:val="24"/>
          <w:szCs w:val="24"/>
          <w:highlight w:val="none"/>
        </w:rPr>
      </w:pPr>
      <w:r>
        <w:rPr>
          <w:rFonts w:ascii="Times New Roman" w:hAnsi="Times New Roman"/>
          <w:bCs/>
          <w:color w:val="auto"/>
          <w:sz w:val="24"/>
          <w:szCs w:val="24"/>
          <w:highlight w:val="none"/>
        </w:rPr>
        <w:t>5</w:t>
      </w:r>
      <w:r>
        <w:rPr>
          <w:rFonts w:hint="eastAsia" w:ascii="Times New Roman" w:hAnsi="Times New Roman"/>
          <w:bCs/>
          <w:color w:val="auto"/>
          <w:sz w:val="24"/>
          <w:szCs w:val="24"/>
          <w:highlight w:val="none"/>
        </w:rPr>
        <w:t>）图形缩放、拖曳：产品图像可放大缩小，拖曳移动。</w:t>
      </w:r>
    </w:p>
    <w:p w14:paraId="3CE33D89">
      <w:pPr>
        <w:tabs>
          <w:tab w:val="left" w:pos="2340"/>
        </w:tabs>
        <w:spacing w:line="360" w:lineRule="auto"/>
        <w:ind w:firstLine="480"/>
        <w:rPr>
          <w:rFonts w:ascii="Times New Roman" w:hAnsi="Times New Roman"/>
          <w:bCs/>
          <w:color w:val="auto"/>
          <w:sz w:val="24"/>
          <w:szCs w:val="24"/>
          <w:highlight w:val="none"/>
        </w:rPr>
      </w:pPr>
      <w:r>
        <w:rPr>
          <w:rFonts w:ascii="Times New Roman" w:hAnsi="Times New Roman"/>
          <w:bCs/>
          <w:color w:val="auto"/>
          <w:sz w:val="24"/>
          <w:szCs w:val="24"/>
          <w:highlight w:val="none"/>
        </w:rPr>
        <w:t>6</w:t>
      </w:r>
      <w:r>
        <w:rPr>
          <w:rFonts w:hint="eastAsia" w:ascii="Times New Roman" w:hAnsi="Times New Roman"/>
          <w:bCs/>
          <w:color w:val="auto"/>
          <w:sz w:val="24"/>
          <w:szCs w:val="24"/>
          <w:highlight w:val="none"/>
        </w:rPr>
        <w:t>）图像保存：产品图像可保存为图片格式，分辨率可调。</w:t>
      </w:r>
    </w:p>
    <w:p w14:paraId="53206F21">
      <w:pPr>
        <w:tabs>
          <w:tab w:val="left" w:pos="2340"/>
        </w:tabs>
        <w:spacing w:line="360" w:lineRule="auto"/>
        <w:ind w:firstLine="480"/>
        <w:rPr>
          <w:rFonts w:ascii="Times New Roman" w:hAnsi="Times New Roman"/>
          <w:bCs/>
          <w:color w:val="auto"/>
          <w:sz w:val="24"/>
          <w:szCs w:val="24"/>
          <w:highlight w:val="none"/>
        </w:rPr>
      </w:pPr>
      <w:r>
        <w:rPr>
          <w:rFonts w:ascii="Times New Roman" w:hAnsi="Times New Roman"/>
          <w:bCs/>
          <w:color w:val="auto"/>
          <w:sz w:val="24"/>
          <w:szCs w:val="24"/>
          <w:highlight w:val="none"/>
        </w:rPr>
        <w:t>7</w:t>
      </w:r>
      <w:r>
        <w:rPr>
          <w:rFonts w:hint="eastAsia" w:ascii="Times New Roman" w:hAnsi="Times New Roman"/>
          <w:bCs/>
          <w:color w:val="auto"/>
          <w:sz w:val="24"/>
          <w:szCs w:val="24"/>
          <w:highlight w:val="none"/>
        </w:rPr>
        <w:t>）动态展示：支持产品时序播放、动图制作。</w:t>
      </w:r>
    </w:p>
    <w:p w14:paraId="3218786F">
      <w:pPr>
        <w:tabs>
          <w:tab w:val="left" w:pos="2340"/>
        </w:tabs>
        <w:spacing w:line="360" w:lineRule="auto"/>
        <w:ind w:firstLine="480"/>
        <w:rPr>
          <w:rFonts w:ascii="Times New Roman" w:hAnsi="Times New Roman"/>
          <w:bCs/>
          <w:color w:val="auto"/>
          <w:sz w:val="24"/>
          <w:szCs w:val="24"/>
          <w:highlight w:val="none"/>
        </w:rPr>
      </w:pPr>
      <w:r>
        <w:rPr>
          <w:rFonts w:ascii="Times New Roman" w:hAnsi="Times New Roman"/>
          <w:bCs/>
          <w:color w:val="auto"/>
          <w:sz w:val="24"/>
          <w:szCs w:val="24"/>
          <w:highlight w:val="none"/>
        </w:rPr>
        <w:t>8</w:t>
      </w:r>
      <w:r>
        <w:rPr>
          <w:rFonts w:hint="eastAsia" w:ascii="Times New Roman" w:hAnsi="Times New Roman"/>
          <w:bCs/>
          <w:color w:val="auto"/>
          <w:sz w:val="24"/>
          <w:szCs w:val="24"/>
          <w:highlight w:val="none"/>
        </w:rPr>
        <w:t>）地图加载：产品显示可加载离线地图文件，同时应支持</w:t>
      </w:r>
      <w:r>
        <w:rPr>
          <w:rFonts w:ascii="Times New Roman" w:hAnsi="Times New Roman"/>
          <w:bCs/>
          <w:color w:val="auto"/>
          <w:sz w:val="24"/>
          <w:szCs w:val="24"/>
          <w:highlight w:val="none"/>
        </w:rPr>
        <w:t>API</w:t>
      </w:r>
      <w:r>
        <w:rPr>
          <w:rFonts w:hint="eastAsia" w:ascii="Times New Roman" w:hAnsi="Times New Roman"/>
          <w:bCs/>
          <w:color w:val="auto"/>
          <w:sz w:val="24"/>
          <w:szCs w:val="24"/>
          <w:highlight w:val="none"/>
        </w:rPr>
        <w:t>接口获取在线瓦片，底图包括但不限于地图、地形、影像，支持各级界线、名称显隐。</w:t>
      </w:r>
    </w:p>
    <w:p w14:paraId="0CE5DC5B">
      <w:pPr>
        <w:tabs>
          <w:tab w:val="left" w:pos="2340"/>
        </w:tabs>
        <w:spacing w:line="360" w:lineRule="auto"/>
        <w:ind w:firstLine="480"/>
        <w:rPr>
          <w:rFonts w:ascii="Times New Roman" w:hAnsi="Times New Roman"/>
          <w:bCs/>
          <w:color w:val="auto"/>
          <w:sz w:val="24"/>
          <w:szCs w:val="24"/>
          <w:highlight w:val="none"/>
        </w:rPr>
      </w:pPr>
      <w:r>
        <w:rPr>
          <w:rFonts w:ascii="Times New Roman" w:hAnsi="Times New Roman"/>
          <w:bCs/>
          <w:color w:val="auto"/>
          <w:sz w:val="24"/>
          <w:szCs w:val="24"/>
          <w:highlight w:val="none"/>
        </w:rPr>
        <w:t>9</w:t>
      </w:r>
      <w:r>
        <w:rPr>
          <w:rFonts w:hint="eastAsia" w:ascii="Times New Roman" w:hAnsi="Times New Roman"/>
          <w:bCs/>
          <w:color w:val="auto"/>
          <w:sz w:val="24"/>
          <w:szCs w:val="24"/>
          <w:highlight w:val="none"/>
        </w:rPr>
        <w:t>）测距功能：产品显示界面可显示两点间距离、折线距离。</w:t>
      </w:r>
    </w:p>
    <w:p w14:paraId="38D9AECB">
      <w:pPr>
        <w:tabs>
          <w:tab w:val="left" w:pos="2340"/>
        </w:tabs>
        <w:spacing w:line="360" w:lineRule="auto"/>
        <w:ind w:firstLine="480"/>
        <w:rPr>
          <w:rFonts w:ascii="Times New Roman" w:hAnsi="Times New Roman"/>
          <w:bCs/>
          <w:color w:val="auto"/>
          <w:sz w:val="24"/>
          <w:szCs w:val="24"/>
          <w:highlight w:val="none"/>
        </w:rPr>
      </w:pPr>
      <w:r>
        <w:rPr>
          <w:rFonts w:ascii="Times New Roman" w:hAnsi="Times New Roman"/>
          <w:bCs/>
          <w:color w:val="auto"/>
          <w:sz w:val="24"/>
          <w:szCs w:val="24"/>
          <w:highlight w:val="none"/>
        </w:rPr>
        <w:t>10</w:t>
      </w:r>
      <w:r>
        <w:rPr>
          <w:rFonts w:hint="eastAsia" w:ascii="Times New Roman" w:hAnsi="Times New Roman"/>
          <w:bCs/>
          <w:color w:val="auto"/>
          <w:sz w:val="24"/>
          <w:szCs w:val="24"/>
          <w:highlight w:val="none"/>
        </w:rPr>
        <w:t>）游标引导：游标所在点的经纬度、方位、距离、高度、产品数值、地理位置等信息显示。</w:t>
      </w:r>
    </w:p>
    <w:p w14:paraId="05FA8E25">
      <w:pPr>
        <w:tabs>
          <w:tab w:val="left" w:pos="2340"/>
        </w:tabs>
        <w:spacing w:line="360" w:lineRule="auto"/>
        <w:ind w:firstLine="480"/>
        <w:rPr>
          <w:rFonts w:ascii="Times New Roman" w:hAnsi="Times New Roman"/>
          <w:bCs/>
          <w:color w:val="auto"/>
          <w:sz w:val="24"/>
          <w:szCs w:val="24"/>
          <w:highlight w:val="none"/>
        </w:rPr>
      </w:pPr>
      <w:r>
        <w:rPr>
          <w:rFonts w:ascii="Times New Roman" w:hAnsi="Times New Roman"/>
          <w:bCs/>
          <w:color w:val="auto"/>
          <w:sz w:val="24"/>
          <w:szCs w:val="24"/>
          <w:highlight w:val="none"/>
        </w:rPr>
        <w:t>11</w:t>
      </w:r>
      <w:r>
        <w:rPr>
          <w:rFonts w:hint="eastAsia" w:ascii="Times New Roman" w:hAnsi="Times New Roman"/>
          <w:bCs/>
          <w:color w:val="auto"/>
          <w:sz w:val="24"/>
          <w:szCs w:val="24"/>
          <w:highlight w:val="none"/>
        </w:rPr>
        <w:t>）产品色标：提供默认配色，支持自定义配色。</w:t>
      </w:r>
    </w:p>
    <w:p w14:paraId="7F2351B8">
      <w:pPr>
        <w:tabs>
          <w:tab w:val="left" w:pos="2340"/>
        </w:tabs>
        <w:spacing w:line="360" w:lineRule="auto"/>
        <w:ind w:firstLine="480"/>
        <w:rPr>
          <w:rFonts w:ascii="Times New Roman" w:hAnsi="Times New Roman"/>
          <w:bCs/>
          <w:color w:val="auto"/>
          <w:sz w:val="24"/>
          <w:szCs w:val="24"/>
          <w:highlight w:val="none"/>
        </w:rPr>
      </w:pPr>
      <w:r>
        <w:rPr>
          <w:rFonts w:ascii="Times New Roman" w:hAnsi="Times New Roman"/>
          <w:bCs/>
          <w:color w:val="auto"/>
          <w:sz w:val="24"/>
          <w:szCs w:val="24"/>
          <w:highlight w:val="none"/>
        </w:rPr>
        <w:t>12</w:t>
      </w:r>
      <w:r>
        <w:rPr>
          <w:rFonts w:hint="eastAsia" w:ascii="Times New Roman" w:hAnsi="Times New Roman"/>
          <w:bCs/>
          <w:color w:val="auto"/>
          <w:sz w:val="24"/>
          <w:szCs w:val="24"/>
          <w:highlight w:val="none"/>
        </w:rPr>
        <w:t>）阈值过滤：显示阈值范围内数据，过滤超限数据；可单一范围显隐；可调整产品透明度。</w:t>
      </w:r>
    </w:p>
    <w:p w14:paraId="6E404330">
      <w:pPr>
        <w:tabs>
          <w:tab w:val="left" w:pos="2340"/>
        </w:tabs>
        <w:spacing w:line="360" w:lineRule="auto"/>
        <w:ind w:firstLine="480"/>
        <w:rPr>
          <w:rFonts w:ascii="Times New Roman" w:hAnsi="Times New Roman"/>
          <w:bCs/>
          <w:color w:val="auto"/>
          <w:sz w:val="24"/>
          <w:szCs w:val="24"/>
          <w:highlight w:val="none"/>
        </w:rPr>
      </w:pPr>
      <w:r>
        <w:rPr>
          <w:rFonts w:ascii="Times New Roman" w:hAnsi="Times New Roman"/>
          <w:bCs/>
          <w:color w:val="auto"/>
          <w:sz w:val="24"/>
          <w:szCs w:val="24"/>
          <w:highlight w:val="none"/>
        </w:rPr>
        <w:t>13</w:t>
      </w:r>
      <w:r>
        <w:rPr>
          <w:rFonts w:hint="eastAsia" w:ascii="Times New Roman" w:hAnsi="Times New Roman"/>
          <w:bCs/>
          <w:color w:val="auto"/>
          <w:sz w:val="24"/>
          <w:szCs w:val="24"/>
          <w:highlight w:val="none"/>
        </w:rPr>
        <w:t>）自动刷新：可启停的自动显示最新产品数据。</w:t>
      </w:r>
    </w:p>
    <w:p w14:paraId="44D7951D">
      <w:pPr>
        <w:tabs>
          <w:tab w:val="left" w:pos="2340"/>
        </w:tabs>
        <w:spacing w:line="360" w:lineRule="auto"/>
        <w:ind w:firstLine="480"/>
        <w:rPr>
          <w:rFonts w:ascii="Times New Roman" w:hAnsi="Times New Roman"/>
          <w:bCs/>
          <w:color w:val="auto"/>
          <w:sz w:val="24"/>
          <w:szCs w:val="24"/>
          <w:highlight w:val="none"/>
        </w:rPr>
      </w:pPr>
      <w:r>
        <w:rPr>
          <w:rFonts w:ascii="Times New Roman" w:hAnsi="Times New Roman"/>
          <w:bCs/>
          <w:color w:val="auto"/>
          <w:sz w:val="24"/>
          <w:szCs w:val="24"/>
          <w:highlight w:val="none"/>
        </w:rPr>
        <w:t>14</w:t>
      </w:r>
      <w:r>
        <w:rPr>
          <w:rFonts w:hint="eastAsia" w:ascii="Times New Roman" w:hAnsi="Times New Roman"/>
          <w:bCs/>
          <w:color w:val="auto"/>
          <w:sz w:val="24"/>
          <w:szCs w:val="24"/>
          <w:highlight w:val="none"/>
        </w:rPr>
        <w:t>）状态监控：包括数据接收、产品制作、产品传输状态监控。</w:t>
      </w:r>
    </w:p>
    <w:p w14:paraId="54A2E0BE">
      <w:pPr>
        <w:tabs>
          <w:tab w:val="left" w:pos="2340"/>
        </w:tabs>
        <w:spacing w:line="360" w:lineRule="auto"/>
        <w:ind w:firstLine="480"/>
        <w:rPr>
          <w:rFonts w:ascii="Times New Roman" w:hAnsi="Times New Roman"/>
          <w:bCs/>
          <w:color w:val="auto"/>
          <w:sz w:val="24"/>
          <w:szCs w:val="24"/>
          <w:highlight w:val="none"/>
        </w:rPr>
      </w:pPr>
      <w:r>
        <w:rPr>
          <w:rFonts w:ascii="Times New Roman" w:hAnsi="Times New Roman"/>
          <w:bCs/>
          <w:color w:val="auto"/>
          <w:sz w:val="24"/>
          <w:szCs w:val="24"/>
          <w:highlight w:val="none"/>
        </w:rPr>
        <w:t>15</w:t>
      </w:r>
      <w:r>
        <w:rPr>
          <w:rFonts w:hint="eastAsia" w:ascii="Times New Roman" w:hAnsi="Times New Roman"/>
          <w:bCs/>
          <w:color w:val="auto"/>
          <w:sz w:val="24"/>
          <w:szCs w:val="24"/>
          <w:highlight w:val="none"/>
        </w:rPr>
        <w:t>）数据归档：本地或异地产品数据归档，支持定时清理。</w:t>
      </w:r>
    </w:p>
    <w:p w14:paraId="2E085277">
      <w:pPr>
        <w:tabs>
          <w:tab w:val="left" w:pos="2340"/>
        </w:tabs>
        <w:spacing w:line="360" w:lineRule="auto"/>
        <w:ind w:firstLine="480"/>
        <w:rPr>
          <w:rFonts w:ascii="Times New Roman" w:hAnsi="Times New Roman"/>
          <w:bCs/>
          <w:color w:val="auto"/>
          <w:sz w:val="24"/>
          <w:szCs w:val="24"/>
          <w:highlight w:val="none"/>
        </w:rPr>
      </w:pPr>
      <w:r>
        <w:rPr>
          <w:rFonts w:ascii="Times New Roman" w:hAnsi="Times New Roman"/>
          <w:bCs/>
          <w:color w:val="auto"/>
          <w:sz w:val="24"/>
          <w:szCs w:val="24"/>
          <w:highlight w:val="none"/>
        </w:rPr>
        <w:t>16</w:t>
      </w:r>
      <w:r>
        <w:rPr>
          <w:rFonts w:hint="eastAsia" w:ascii="Times New Roman" w:hAnsi="Times New Roman"/>
          <w:bCs/>
          <w:color w:val="auto"/>
          <w:sz w:val="24"/>
          <w:szCs w:val="24"/>
          <w:highlight w:val="none"/>
        </w:rPr>
        <w:t>）数据上传：产品数据多节点上传，支持恢复网络后自动补传、手动补传。</w:t>
      </w:r>
    </w:p>
    <w:p w14:paraId="0A1C776F">
      <w:pPr>
        <w:tabs>
          <w:tab w:val="left" w:pos="2340"/>
        </w:tabs>
        <w:spacing w:line="360" w:lineRule="auto"/>
        <w:ind w:firstLine="480"/>
        <w:rPr>
          <w:rFonts w:ascii="Times New Roman" w:hAnsi="Times New Roman"/>
          <w:bCs/>
          <w:color w:val="auto"/>
          <w:sz w:val="24"/>
          <w:szCs w:val="24"/>
          <w:highlight w:val="none"/>
        </w:rPr>
      </w:pPr>
      <w:r>
        <w:rPr>
          <w:rFonts w:ascii="Times New Roman" w:hAnsi="Times New Roman"/>
          <w:bCs/>
          <w:color w:val="auto"/>
          <w:sz w:val="24"/>
          <w:szCs w:val="24"/>
          <w:highlight w:val="none"/>
        </w:rPr>
        <w:t>17</w:t>
      </w:r>
      <w:r>
        <w:rPr>
          <w:rFonts w:hint="eastAsia" w:ascii="Times New Roman" w:hAnsi="Times New Roman"/>
          <w:bCs/>
          <w:color w:val="auto"/>
          <w:sz w:val="24"/>
          <w:szCs w:val="24"/>
          <w:highlight w:val="none"/>
        </w:rPr>
        <w:t>）算法参数：算法参数可本地化调整。</w:t>
      </w:r>
    </w:p>
    <w:p w14:paraId="61E72EE2">
      <w:pPr>
        <w:tabs>
          <w:tab w:val="left" w:pos="2340"/>
        </w:tabs>
        <w:spacing w:line="360" w:lineRule="auto"/>
        <w:ind w:firstLine="480"/>
        <w:rPr>
          <w:rFonts w:ascii="Times New Roman" w:hAnsi="Times New Roman"/>
          <w:bCs/>
          <w:color w:val="auto"/>
          <w:sz w:val="24"/>
          <w:szCs w:val="24"/>
          <w:highlight w:val="none"/>
        </w:rPr>
      </w:pPr>
      <w:r>
        <w:rPr>
          <w:rFonts w:ascii="Times New Roman" w:hAnsi="Times New Roman"/>
          <w:bCs/>
          <w:color w:val="auto"/>
          <w:sz w:val="24"/>
          <w:szCs w:val="24"/>
          <w:highlight w:val="none"/>
        </w:rPr>
        <w:t>18</w:t>
      </w:r>
      <w:r>
        <w:rPr>
          <w:rFonts w:hint="eastAsia" w:ascii="Times New Roman" w:hAnsi="Times New Roman"/>
          <w:bCs/>
          <w:color w:val="auto"/>
          <w:sz w:val="24"/>
          <w:szCs w:val="24"/>
          <w:highlight w:val="none"/>
        </w:rPr>
        <w:t>）算法接口：支持外部算法接入，使用统一数据接口调用。</w:t>
      </w:r>
    </w:p>
    <w:p w14:paraId="4709235A">
      <w:pPr>
        <w:tabs>
          <w:tab w:val="left" w:pos="2340"/>
        </w:tabs>
        <w:spacing w:line="360" w:lineRule="auto"/>
        <w:ind w:firstLine="480"/>
        <w:rPr>
          <w:rFonts w:ascii="Times New Roman" w:hAnsi="Times New Roman"/>
          <w:bCs/>
          <w:color w:val="auto"/>
          <w:sz w:val="24"/>
          <w:szCs w:val="24"/>
          <w:highlight w:val="none"/>
        </w:rPr>
      </w:pPr>
      <w:r>
        <w:rPr>
          <w:rFonts w:ascii="Times New Roman" w:hAnsi="Times New Roman"/>
          <w:bCs/>
          <w:color w:val="auto"/>
          <w:sz w:val="24"/>
          <w:szCs w:val="24"/>
          <w:highlight w:val="none"/>
        </w:rPr>
        <w:t>19</w:t>
      </w:r>
      <w:r>
        <w:rPr>
          <w:rFonts w:hint="eastAsia" w:ascii="Times New Roman" w:hAnsi="Times New Roman"/>
          <w:bCs/>
          <w:color w:val="auto"/>
          <w:sz w:val="24"/>
          <w:szCs w:val="24"/>
          <w:highlight w:val="none"/>
        </w:rPr>
        <w:t>）系统日志：包括软件运行日志、数据接收日志、产品生成日志、数据上传日志、告警日志、预警日志。</w:t>
      </w:r>
    </w:p>
    <w:p w14:paraId="2EE6982B">
      <w:pPr>
        <w:tabs>
          <w:tab w:val="left" w:pos="2340"/>
        </w:tabs>
        <w:spacing w:line="360" w:lineRule="auto"/>
        <w:ind w:firstLine="480"/>
        <w:rPr>
          <w:rFonts w:ascii="Times New Roman" w:hAnsi="Times New Roman"/>
          <w:bCs/>
          <w:color w:val="auto"/>
          <w:sz w:val="24"/>
          <w:szCs w:val="24"/>
          <w:highlight w:val="none"/>
        </w:rPr>
      </w:pPr>
      <w:r>
        <w:rPr>
          <w:rFonts w:ascii="Times New Roman" w:hAnsi="Times New Roman"/>
          <w:bCs/>
          <w:color w:val="auto"/>
          <w:sz w:val="24"/>
          <w:szCs w:val="24"/>
          <w:highlight w:val="none"/>
        </w:rPr>
        <w:t>20</w:t>
      </w:r>
      <w:r>
        <w:rPr>
          <w:rFonts w:hint="eastAsia" w:ascii="Times New Roman" w:hAnsi="Times New Roman"/>
          <w:bCs/>
          <w:color w:val="auto"/>
          <w:sz w:val="24"/>
          <w:szCs w:val="24"/>
          <w:highlight w:val="none"/>
        </w:rPr>
        <w:t>）日志查询：可按日期、类型、关键词等方式查询系统日志。</w:t>
      </w:r>
    </w:p>
    <w:p w14:paraId="7A0FC462">
      <w:pPr>
        <w:tabs>
          <w:tab w:val="left" w:pos="2340"/>
        </w:tabs>
        <w:spacing w:line="360" w:lineRule="auto"/>
        <w:ind w:firstLine="480"/>
        <w:rPr>
          <w:rFonts w:ascii="Times New Roman" w:hAnsi="Times New Roman"/>
          <w:bCs/>
          <w:color w:val="auto"/>
          <w:sz w:val="24"/>
          <w:szCs w:val="24"/>
          <w:highlight w:val="none"/>
        </w:rPr>
      </w:pPr>
      <w:r>
        <w:rPr>
          <w:rFonts w:ascii="Times New Roman" w:hAnsi="Times New Roman"/>
          <w:bCs/>
          <w:color w:val="auto"/>
          <w:sz w:val="24"/>
          <w:szCs w:val="24"/>
          <w:highlight w:val="none"/>
        </w:rPr>
        <w:t>21</w:t>
      </w:r>
      <w:r>
        <w:rPr>
          <w:rFonts w:hint="eastAsia" w:ascii="Times New Roman" w:hAnsi="Times New Roman"/>
          <w:bCs/>
          <w:color w:val="auto"/>
          <w:sz w:val="24"/>
          <w:szCs w:val="24"/>
          <w:highlight w:val="none"/>
        </w:rPr>
        <w:t>）多用户并发：每个产品生成终端应至少能够满足</w:t>
      </w:r>
      <w:r>
        <w:rPr>
          <w:rFonts w:ascii="Times New Roman" w:hAnsi="Times New Roman"/>
          <w:bCs/>
          <w:color w:val="auto"/>
          <w:sz w:val="24"/>
          <w:szCs w:val="24"/>
          <w:highlight w:val="none"/>
        </w:rPr>
        <w:t>30</w:t>
      </w:r>
      <w:r>
        <w:rPr>
          <w:rFonts w:hint="eastAsia" w:ascii="Times New Roman" w:hAnsi="Times New Roman"/>
          <w:bCs/>
          <w:color w:val="auto"/>
          <w:sz w:val="24"/>
          <w:szCs w:val="24"/>
          <w:highlight w:val="none"/>
        </w:rPr>
        <w:t>位用户同时访问。</w:t>
      </w:r>
    </w:p>
    <w:p w14:paraId="05673C93">
      <w:pPr>
        <w:tabs>
          <w:tab w:val="left" w:pos="2340"/>
        </w:tabs>
        <w:spacing w:line="360" w:lineRule="auto"/>
        <w:ind w:firstLine="480"/>
        <w:rPr>
          <w:rFonts w:ascii="Times New Roman" w:hAnsi="Times New Roman"/>
          <w:bCs/>
          <w:color w:val="auto"/>
          <w:sz w:val="24"/>
          <w:szCs w:val="24"/>
          <w:highlight w:val="none"/>
        </w:rPr>
      </w:pPr>
      <w:r>
        <w:rPr>
          <w:rFonts w:ascii="Times New Roman" w:hAnsi="Times New Roman"/>
          <w:bCs/>
          <w:color w:val="auto"/>
          <w:sz w:val="24"/>
          <w:szCs w:val="24"/>
          <w:highlight w:val="none"/>
        </w:rPr>
        <w:t>22</w:t>
      </w:r>
      <w:r>
        <w:rPr>
          <w:rFonts w:hint="eastAsia" w:ascii="Times New Roman" w:hAnsi="Times New Roman"/>
          <w:bCs/>
          <w:color w:val="auto"/>
          <w:sz w:val="24"/>
          <w:szCs w:val="24"/>
          <w:highlight w:val="none"/>
        </w:rPr>
        <w:t>）数据库接口：可从天擎等数据库的接口获取雷达基数据作为数据源。</w:t>
      </w:r>
    </w:p>
    <w:p w14:paraId="2B015F10">
      <w:pPr>
        <w:tabs>
          <w:tab w:val="left" w:pos="2340"/>
        </w:tabs>
        <w:spacing w:line="360" w:lineRule="auto"/>
        <w:ind w:firstLine="480"/>
        <w:rPr>
          <w:rFonts w:ascii="Times New Roman" w:hAnsi="Times New Roman"/>
          <w:bCs/>
          <w:color w:val="auto"/>
          <w:sz w:val="24"/>
          <w:szCs w:val="24"/>
          <w:highlight w:val="none"/>
        </w:rPr>
      </w:pPr>
      <w:r>
        <w:rPr>
          <w:rFonts w:ascii="Times New Roman" w:hAnsi="Times New Roman"/>
          <w:bCs/>
          <w:color w:val="auto"/>
          <w:sz w:val="24"/>
          <w:szCs w:val="24"/>
          <w:highlight w:val="none"/>
        </w:rPr>
        <w:t>23</w:t>
      </w:r>
      <w:r>
        <w:rPr>
          <w:rFonts w:hint="eastAsia" w:ascii="Times New Roman" w:hAnsi="Times New Roman"/>
          <w:bCs/>
          <w:color w:val="auto"/>
          <w:sz w:val="24"/>
          <w:szCs w:val="24"/>
          <w:highlight w:val="none"/>
        </w:rPr>
        <w:t>）快捷操作：可通过键盘进行产品切换、时间切换、仰角层切换等快捷操作。</w:t>
      </w:r>
    </w:p>
    <w:p w14:paraId="372BAB87">
      <w:pPr>
        <w:tabs>
          <w:tab w:val="left" w:pos="2340"/>
        </w:tabs>
        <w:spacing w:line="360" w:lineRule="auto"/>
        <w:ind w:firstLine="480"/>
        <w:rPr>
          <w:rFonts w:ascii="Times New Roman" w:hAnsi="Times New Roman"/>
          <w:bCs/>
          <w:color w:val="auto"/>
          <w:sz w:val="24"/>
          <w:szCs w:val="24"/>
          <w:highlight w:val="none"/>
        </w:rPr>
      </w:pPr>
      <w:r>
        <w:rPr>
          <w:rFonts w:ascii="Times New Roman" w:hAnsi="Times New Roman"/>
          <w:bCs/>
          <w:color w:val="auto"/>
          <w:sz w:val="24"/>
          <w:szCs w:val="24"/>
          <w:highlight w:val="none"/>
        </w:rPr>
        <w:t>24</w:t>
      </w:r>
      <w:r>
        <w:rPr>
          <w:rFonts w:hint="eastAsia" w:ascii="Times New Roman" w:hAnsi="Times New Roman"/>
          <w:bCs/>
          <w:color w:val="auto"/>
          <w:sz w:val="24"/>
          <w:szCs w:val="24"/>
          <w:highlight w:val="none"/>
        </w:rPr>
        <w:t>）关注点标记：设定不同类型的关注点，可设置备注信息并保存；可单选、多选、分类选择叠加在产品上进行显示；可设定关注点预警范围。支持关注点信息导入导出。</w:t>
      </w:r>
    </w:p>
    <w:p w14:paraId="63E996F4">
      <w:pPr>
        <w:pStyle w:val="4"/>
        <w:ind w:left="0" w:firstLine="0" w:firstLineChars="0"/>
        <w:jc w:val="both"/>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 xml:space="preserve">3.2.2 </w:t>
      </w:r>
      <w:r>
        <w:rPr>
          <w:rFonts w:hint="eastAsia" w:ascii="Times New Roman" w:hAnsi="Times New Roman" w:eastAsia="宋体" w:cs="Times New Roman"/>
          <w:color w:val="auto"/>
          <w:szCs w:val="24"/>
          <w:highlight w:val="none"/>
        </w:rPr>
        <w:t>相控阵天气雷达数据处理存储显示系统技术指标要求</w:t>
      </w:r>
    </w:p>
    <w:tbl>
      <w:tblPr>
        <w:tblStyle w:val="12"/>
        <w:tblW w:w="51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8"/>
        <w:gridCol w:w="2392"/>
        <w:gridCol w:w="5601"/>
      </w:tblGrid>
      <w:tr w14:paraId="5BD8B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490" w:type="pct"/>
          </w:tcPr>
          <w:p w14:paraId="44447F91">
            <w:pPr>
              <w:widowControl/>
              <w:spacing w:line="360" w:lineRule="auto"/>
              <w:rPr>
                <w:rFonts w:ascii="Times New Roman" w:hAnsi="Times New Roman"/>
                <w:b/>
                <w:color w:val="auto"/>
                <w:kern w:val="0"/>
                <w:sz w:val="24"/>
                <w:szCs w:val="24"/>
                <w:highlight w:val="none"/>
              </w:rPr>
            </w:pPr>
            <w:r>
              <w:rPr>
                <w:rFonts w:hint="eastAsia" w:ascii="Times New Roman" w:hAnsi="Times New Roman"/>
                <w:b/>
                <w:color w:val="auto"/>
                <w:kern w:val="0"/>
                <w:sz w:val="24"/>
                <w:szCs w:val="24"/>
                <w:highlight w:val="none"/>
              </w:rPr>
              <w:t>序号</w:t>
            </w:r>
          </w:p>
        </w:tc>
        <w:tc>
          <w:tcPr>
            <w:tcW w:w="1350" w:type="pct"/>
            <w:shd w:val="clear" w:color="auto" w:fill="auto"/>
            <w:vAlign w:val="center"/>
          </w:tcPr>
          <w:p w14:paraId="338FFE2E">
            <w:pPr>
              <w:widowControl/>
              <w:spacing w:line="360" w:lineRule="auto"/>
              <w:rPr>
                <w:rFonts w:ascii="Times New Roman" w:hAnsi="Times New Roman"/>
                <w:b/>
                <w:color w:val="auto"/>
                <w:kern w:val="0"/>
                <w:sz w:val="24"/>
                <w:szCs w:val="24"/>
                <w:highlight w:val="none"/>
              </w:rPr>
            </w:pPr>
            <w:r>
              <w:rPr>
                <w:rFonts w:hint="eastAsia" w:ascii="Times New Roman" w:hAnsi="Times New Roman"/>
                <w:b/>
                <w:color w:val="auto"/>
                <w:kern w:val="0"/>
                <w:sz w:val="24"/>
                <w:szCs w:val="24"/>
                <w:highlight w:val="none"/>
              </w:rPr>
              <w:t>项目</w:t>
            </w:r>
          </w:p>
        </w:tc>
        <w:tc>
          <w:tcPr>
            <w:tcW w:w="3160" w:type="pct"/>
            <w:shd w:val="clear" w:color="auto" w:fill="auto"/>
            <w:vAlign w:val="center"/>
          </w:tcPr>
          <w:p w14:paraId="7A549C2C">
            <w:pPr>
              <w:widowControl/>
              <w:spacing w:line="360" w:lineRule="auto"/>
              <w:rPr>
                <w:rFonts w:ascii="Times New Roman" w:hAnsi="Times New Roman"/>
                <w:b/>
                <w:color w:val="auto"/>
                <w:kern w:val="0"/>
                <w:sz w:val="24"/>
                <w:szCs w:val="24"/>
                <w:highlight w:val="none"/>
              </w:rPr>
            </w:pPr>
            <w:r>
              <w:rPr>
                <w:rFonts w:hint="eastAsia" w:ascii="Times New Roman" w:hAnsi="Times New Roman"/>
                <w:b/>
                <w:color w:val="auto"/>
                <w:kern w:val="0"/>
                <w:sz w:val="24"/>
                <w:szCs w:val="24"/>
                <w:highlight w:val="none"/>
              </w:rPr>
              <w:t>技术指标</w:t>
            </w:r>
          </w:p>
        </w:tc>
      </w:tr>
      <w:tr w14:paraId="110FC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490" w:type="pct"/>
            <w:vAlign w:val="center"/>
          </w:tcPr>
          <w:p w14:paraId="4DF4B367">
            <w:pPr>
              <w:widowControl/>
              <w:spacing w:line="360" w:lineRule="auto"/>
              <w:jc w:val="center"/>
              <w:rPr>
                <w:rFonts w:ascii="Times New Roman" w:hAnsi="Times New Roman"/>
                <w:color w:val="auto"/>
                <w:kern w:val="0"/>
                <w:sz w:val="24"/>
                <w:szCs w:val="24"/>
                <w:highlight w:val="none"/>
              </w:rPr>
            </w:pPr>
            <w:r>
              <w:rPr>
                <w:rFonts w:ascii="Times New Roman" w:hAnsi="Times New Roman"/>
                <w:color w:val="auto"/>
                <w:kern w:val="0"/>
                <w:sz w:val="24"/>
                <w:szCs w:val="24"/>
                <w:highlight w:val="none"/>
              </w:rPr>
              <w:t>1</w:t>
            </w:r>
          </w:p>
        </w:tc>
        <w:tc>
          <w:tcPr>
            <w:tcW w:w="1350" w:type="pct"/>
            <w:shd w:val="clear" w:color="auto" w:fill="auto"/>
            <w:vAlign w:val="center"/>
          </w:tcPr>
          <w:p w14:paraId="1D30BA09">
            <w:pPr>
              <w:widowControl/>
              <w:spacing w:line="360" w:lineRule="auto"/>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雷达运算存储设备</w:t>
            </w:r>
          </w:p>
        </w:tc>
        <w:tc>
          <w:tcPr>
            <w:tcW w:w="3160" w:type="pct"/>
            <w:shd w:val="clear" w:color="auto" w:fill="auto"/>
            <w:vAlign w:val="center"/>
          </w:tcPr>
          <w:p w14:paraId="57AAF70C">
            <w:pPr>
              <w:widowControl/>
              <w:spacing w:line="360" w:lineRule="auto"/>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国产</w:t>
            </w:r>
            <w:r>
              <w:rPr>
                <w:rFonts w:ascii="Times New Roman" w:hAnsi="Times New Roman"/>
                <w:color w:val="auto"/>
                <w:kern w:val="0"/>
                <w:sz w:val="24"/>
                <w:szCs w:val="24"/>
                <w:highlight w:val="none"/>
              </w:rPr>
              <w:t>CPU</w:t>
            </w:r>
            <w:r>
              <w:rPr>
                <w:rFonts w:hint="eastAsia" w:ascii="Times New Roman" w:hAnsi="Times New Roman"/>
                <w:color w:val="auto"/>
                <w:kern w:val="0"/>
                <w:sz w:val="24"/>
                <w:szCs w:val="24"/>
                <w:highlight w:val="none"/>
              </w:rPr>
              <w:t>；</w:t>
            </w:r>
          </w:p>
          <w:p w14:paraId="1DBF1B40">
            <w:pPr>
              <w:widowControl/>
              <w:spacing w:line="360" w:lineRule="auto"/>
              <w:rPr>
                <w:rFonts w:ascii="Times New Roman" w:hAnsi="Times New Roman"/>
                <w:color w:val="auto"/>
                <w:kern w:val="0"/>
                <w:sz w:val="24"/>
                <w:szCs w:val="24"/>
                <w:highlight w:val="none"/>
              </w:rPr>
            </w:pPr>
            <w:r>
              <w:rPr>
                <w:rFonts w:ascii="Times New Roman" w:hAnsi="Times New Roman"/>
                <w:color w:val="auto"/>
                <w:kern w:val="0"/>
                <w:sz w:val="24"/>
                <w:szCs w:val="24"/>
                <w:highlight w:val="none"/>
              </w:rPr>
              <w:t>CPU</w:t>
            </w:r>
            <w:r>
              <w:rPr>
                <w:rFonts w:hint="eastAsia" w:ascii="Times New Roman" w:hAnsi="Times New Roman"/>
                <w:color w:val="auto"/>
                <w:kern w:val="0"/>
                <w:sz w:val="24"/>
                <w:szCs w:val="24"/>
                <w:highlight w:val="none"/>
              </w:rPr>
              <w:t>处理器速度：≥</w:t>
            </w:r>
            <w:r>
              <w:rPr>
                <w:rFonts w:ascii="Times New Roman" w:hAnsi="Times New Roman"/>
                <w:color w:val="auto"/>
                <w:kern w:val="0"/>
                <w:sz w:val="24"/>
                <w:szCs w:val="24"/>
                <w:highlight w:val="none"/>
              </w:rPr>
              <w:t>2.5GHz</w:t>
            </w:r>
            <w:r>
              <w:rPr>
                <w:rFonts w:hint="eastAsia" w:ascii="Times New Roman" w:hAnsi="Times New Roman"/>
                <w:color w:val="auto"/>
                <w:kern w:val="0"/>
                <w:sz w:val="24"/>
                <w:szCs w:val="24"/>
                <w:highlight w:val="none"/>
              </w:rPr>
              <w:t>；</w:t>
            </w:r>
          </w:p>
          <w:p w14:paraId="60C8BA9C">
            <w:pPr>
              <w:widowControl/>
              <w:spacing w:line="360" w:lineRule="auto"/>
              <w:rPr>
                <w:rFonts w:ascii="Times New Roman" w:hAnsi="Times New Roman"/>
                <w:color w:val="auto"/>
                <w:kern w:val="0"/>
                <w:sz w:val="24"/>
                <w:szCs w:val="24"/>
                <w:highlight w:val="none"/>
              </w:rPr>
            </w:pPr>
            <w:r>
              <w:rPr>
                <w:rFonts w:ascii="Times New Roman" w:hAnsi="Times New Roman"/>
                <w:color w:val="auto"/>
                <w:kern w:val="0"/>
                <w:sz w:val="24"/>
                <w:szCs w:val="24"/>
                <w:highlight w:val="none"/>
              </w:rPr>
              <w:t>CPU</w:t>
            </w:r>
            <w:r>
              <w:rPr>
                <w:rFonts w:hint="eastAsia" w:ascii="Times New Roman" w:hAnsi="Times New Roman"/>
                <w:color w:val="auto"/>
                <w:kern w:val="0"/>
                <w:sz w:val="24"/>
                <w:szCs w:val="24"/>
                <w:highlight w:val="none"/>
              </w:rPr>
              <w:t>核心数量：≥</w:t>
            </w:r>
            <w:r>
              <w:rPr>
                <w:rFonts w:ascii="Times New Roman" w:hAnsi="Times New Roman"/>
                <w:color w:val="auto"/>
                <w:kern w:val="0"/>
                <w:sz w:val="24"/>
                <w:szCs w:val="24"/>
                <w:highlight w:val="none"/>
              </w:rPr>
              <w:t>16</w:t>
            </w:r>
            <w:r>
              <w:rPr>
                <w:rFonts w:hint="eastAsia" w:ascii="Times New Roman" w:hAnsi="Times New Roman"/>
                <w:color w:val="auto"/>
                <w:kern w:val="0"/>
                <w:sz w:val="24"/>
                <w:szCs w:val="24"/>
                <w:highlight w:val="none"/>
              </w:rPr>
              <w:t>核；</w:t>
            </w:r>
          </w:p>
          <w:p w14:paraId="779D2320">
            <w:pPr>
              <w:widowControl/>
              <w:spacing w:line="360" w:lineRule="auto"/>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内存容量：≥</w:t>
            </w:r>
            <w:r>
              <w:rPr>
                <w:rFonts w:ascii="Times New Roman" w:hAnsi="Times New Roman"/>
                <w:color w:val="auto"/>
                <w:kern w:val="0"/>
                <w:sz w:val="24"/>
                <w:szCs w:val="24"/>
                <w:highlight w:val="none"/>
              </w:rPr>
              <w:t>128GB</w:t>
            </w:r>
            <w:r>
              <w:rPr>
                <w:rFonts w:hint="eastAsia" w:ascii="Times New Roman" w:hAnsi="Times New Roman"/>
                <w:color w:val="auto"/>
                <w:kern w:val="0"/>
                <w:sz w:val="24"/>
                <w:szCs w:val="24"/>
                <w:highlight w:val="none"/>
              </w:rPr>
              <w:t>；</w:t>
            </w:r>
          </w:p>
          <w:p w14:paraId="1C21252F">
            <w:pPr>
              <w:widowControl/>
              <w:spacing w:line="360" w:lineRule="auto"/>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系统盘：≥</w:t>
            </w:r>
            <w:r>
              <w:rPr>
                <w:rFonts w:ascii="Times New Roman" w:hAnsi="Times New Roman"/>
                <w:color w:val="auto"/>
                <w:kern w:val="0"/>
                <w:sz w:val="24"/>
                <w:szCs w:val="24"/>
                <w:highlight w:val="none"/>
              </w:rPr>
              <w:t>256G</w:t>
            </w:r>
            <w:r>
              <w:rPr>
                <w:rFonts w:hint="eastAsia" w:ascii="Times New Roman" w:hAnsi="Times New Roman"/>
                <w:color w:val="auto"/>
                <w:kern w:val="0"/>
                <w:sz w:val="24"/>
                <w:szCs w:val="24"/>
                <w:highlight w:val="none"/>
              </w:rPr>
              <w:t>；</w:t>
            </w:r>
          </w:p>
          <w:p w14:paraId="0E98F40A">
            <w:pPr>
              <w:widowControl/>
              <w:spacing w:line="360" w:lineRule="auto"/>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数据盘：≥</w:t>
            </w:r>
            <w:r>
              <w:rPr>
                <w:rFonts w:ascii="Times New Roman" w:hAnsi="Times New Roman"/>
                <w:color w:val="auto"/>
                <w:kern w:val="0"/>
                <w:sz w:val="24"/>
                <w:szCs w:val="24"/>
                <w:highlight w:val="none"/>
              </w:rPr>
              <w:t>64TB</w:t>
            </w:r>
            <w:r>
              <w:rPr>
                <w:rFonts w:hint="eastAsia" w:ascii="Times New Roman" w:hAnsi="Times New Roman"/>
                <w:color w:val="auto"/>
                <w:kern w:val="0"/>
                <w:sz w:val="24"/>
                <w:szCs w:val="24"/>
                <w:highlight w:val="none"/>
              </w:rPr>
              <w:t>；</w:t>
            </w:r>
          </w:p>
          <w:p w14:paraId="6F2F8E33">
            <w:pPr>
              <w:widowControl/>
              <w:spacing w:line="360" w:lineRule="auto"/>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网口：≥</w:t>
            </w:r>
            <w:r>
              <w:rPr>
                <w:rFonts w:ascii="Times New Roman" w:hAnsi="Times New Roman"/>
                <w:color w:val="auto"/>
                <w:kern w:val="0"/>
                <w:sz w:val="24"/>
                <w:szCs w:val="24"/>
                <w:highlight w:val="none"/>
              </w:rPr>
              <w:t>2</w:t>
            </w:r>
            <w:r>
              <w:rPr>
                <w:rFonts w:hint="eastAsia" w:ascii="Times New Roman" w:hAnsi="Times New Roman"/>
                <w:color w:val="auto"/>
                <w:kern w:val="0"/>
                <w:sz w:val="24"/>
                <w:szCs w:val="24"/>
                <w:highlight w:val="none"/>
              </w:rPr>
              <w:t>个千兆网口；</w:t>
            </w:r>
          </w:p>
          <w:p w14:paraId="2CF38B93">
            <w:pPr>
              <w:widowControl/>
              <w:spacing w:line="360" w:lineRule="auto"/>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操作系统：国产操作系统；</w:t>
            </w:r>
          </w:p>
        </w:tc>
      </w:tr>
      <w:tr w14:paraId="1E35D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90" w:type="pct"/>
            <w:vAlign w:val="center"/>
          </w:tcPr>
          <w:p w14:paraId="13BC1FCD">
            <w:pPr>
              <w:widowControl/>
              <w:spacing w:line="360" w:lineRule="auto"/>
              <w:jc w:val="center"/>
              <w:rPr>
                <w:rFonts w:ascii="Times New Roman" w:hAnsi="Times New Roman"/>
                <w:color w:val="auto"/>
                <w:kern w:val="0"/>
                <w:sz w:val="24"/>
                <w:szCs w:val="24"/>
                <w:highlight w:val="none"/>
              </w:rPr>
            </w:pPr>
            <w:r>
              <w:rPr>
                <w:rFonts w:ascii="Times New Roman" w:hAnsi="Times New Roman"/>
                <w:color w:val="auto"/>
                <w:kern w:val="0"/>
                <w:sz w:val="24"/>
                <w:szCs w:val="24"/>
                <w:highlight w:val="none"/>
              </w:rPr>
              <w:t>2</w:t>
            </w:r>
          </w:p>
        </w:tc>
        <w:tc>
          <w:tcPr>
            <w:tcW w:w="1350" w:type="pct"/>
            <w:shd w:val="clear" w:color="auto" w:fill="auto"/>
            <w:vAlign w:val="center"/>
          </w:tcPr>
          <w:p w14:paraId="491D179A">
            <w:pPr>
              <w:widowControl/>
              <w:spacing w:line="360" w:lineRule="auto"/>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大容量数据存储设备</w:t>
            </w:r>
          </w:p>
        </w:tc>
        <w:tc>
          <w:tcPr>
            <w:tcW w:w="3160" w:type="pct"/>
            <w:shd w:val="clear" w:color="auto" w:fill="auto"/>
            <w:vAlign w:val="center"/>
          </w:tcPr>
          <w:p w14:paraId="76CFD829">
            <w:pPr>
              <w:widowControl/>
              <w:spacing w:line="360" w:lineRule="auto"/>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支持双控，</w:t>
            </w:r>
            <w:r>
              <w:rPr>
                <w:rFonts w:ascii="Times New Roman" w:hAnsi="Times New Roman"/>
                <w:color w:val="auto"/>
                <w:kern w:val="0"/>
                <w:sz w:val="24"/>
                <w:szCs w:val="24"/>
                <w:highlight w:val="none"/>
              </w:rPr>
              <w:t>64GB</w:t>
            </w:r>
            <w:r>
              <w:rPr>
                <w:rFonts w:hint="eastAsia" w:ascii="Times New Roman" w:hAnsi="Times New Roman"/>
                <w:color w:val="auto"/>
                <w:kern w:val="0"/>
                <w:sz w:val="24"/>
                <w:szCs w:val="24"/>
                <w:highlight w:val="none"/>
              </w:rPr>
              <w:t>缓存，硬盘存储裸容量</w:t>
            </w:r>
            <w:r>
              <w:rPr>
                <w:rFonts w:ascii="Times New Roman" w:hAnsi="Times New Roman"/>
                <w:color w:val="auto"/>
                <w:kern w:val="0"/>
                <w:sz w:val="24"/>
                <w:szCs w:val="24"/>
                <w:highlight w:val="none"/>
              </w:rPr>
              <w:t>480T</w:t>
            </w:r>
            <w:r>
              <w:rPr>
                <w:rFonts w:hint="eastAsia" w:ascii="Times New Roman" w:hAnsi="Times New Roman"/>
                <w:color w:val="auto"/>
                <w:kern w:val="0"/>
                <w:sz w:val="24"/>
                <w:szCs w:val="24"/>
                <w:highlight w:val="none"/>
              </w:rPr>
              <w:t>，可用容量</w:t>
            </w:r>
            <w:r>
              <w:rPr>
                <w:rFonts w:ascii="Times New Roman" w:hAnsi="Times New Roman"/>
                <w:color w:val="auto"/>
                <w:kern w:val="0"/>
                <w:sz w:val="24"/>
                <w:szCs w:val="24"/>
                <w:highlight w:val="none"/>
              </w:rPr>
              <w:t>362.25T</w:t>
            </w:r>
          </w:p>
        </w:tc>
      </w:tr>
      <w:tr w14:paraId="258CA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490" w:type="pct"/>
            <w:vAlign w:val="center"/>
          </w:tcPr>
          <w:p w14:paraId="325B176A">
            <w:pPr>
              <w:widowControl/>
              <w:spacing w:line="360" w:lineRule="auto"/>
              <w:jc w:val="center"/>
              <w:rPr>
                <w:rFonts w:ascii="Times New Roman" w:hAnsi="Times New Roman"/>
                <w:color w:val="auto"/>
                <w:kern w:val="0"/>
                <w:sz w:val="24"/>
                <w:szCs w:val="24"/>
                <w:highlight w:val="none"/>
              </w:rPr>
            </w:pPr>
            <w:r>
              <w:rPr>
                <w:rFonts w:ascii="Times New Roman" w:hAnsi="Times New Roman"/>
                <w:color w:val="auto"/>
                <w:kern w:val="0"/>
                <w:sz w:val="24"/>
                <w:szCs w:val="24"/>
                <w:highlight w:val="none"/>
              </w:rPr>
              <w:t>3</w:t>
            </w:r>
          </w:p>
        </w:tc>
        <w:tc>
          <w:tcPr>
            <w:tcW w:w="1350" w:type="pct"/>
            <w:shd w:val="clear" w:color="auto" w:fill="auto"/>
            <w:vAlign w:val="center"/>
          </w:tcPr>
          <w:p w14:paraId="078156B7">
            <w:pPr>
              <w:widowControl/>
              <w:spacing w:line="360" w:lineRule="auto"/>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气象产品显示工作站</w:t>
            </w:r>
          </w:p>
        </w:tc>
        <w:tc>
          <w:tcPr>
            <w:tcW w:w="3160" w:type="pct"/>
            <w:shd w:val="clear" w:color="auto" w:fill="auto"/>
            <w:vAlign w:val="center"/>
          </w:tcPr>
          <w:p w14:paraId="40080336">
            <w:pPr>
              <w:widowControl/>
              <w:spacing w:line="360" w:lineRule="auto"/>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国产</w:t>
            </w:r>
            <w:r>
              <w:rPr>
                <w:rFonts w:ascii="Times New Roman" w:hAnsi="Times New Roman"/>
                <w:color w:val="auto"/>
                <w:kern w:val="0"/>
                <w:sz w:val="24"/>
                <w:szCs w:val="24"/>
                <w:highlight w:val="none"/>
              </w:rPr>
              <w:t>CPU</w:t>
            </w:r>
            <w:r>
              <w:rPr>
                <w:rFonts w:hint="eastAsia" w:ascii="Times New Roman" w:hAnsi="Times New Roman"/>
                <w:color w:val="auto"/>
                <w:kern w:val="0"/>
                <w:sz w:val="24"/>
                <w:szCs w:val="24"/>
                <w:highlight w:val="none"/>
              </w:rPr>
              <w:t>；</w:t>
            </w:r>
          </w:p>
          <w:p w14:paraId="3853A618">
            <w:pPr>
              <w:widowControl/>
              <w:spacing w:line="360" w:lineRule="auto"/>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处理器速度≥</w:t>
            </w:r>
            <w:r>
              <w:rPr>
                <w:rFonts w:ascii="Times New Roman" w:hAnsi="Times New Roman"/>
                <w:color w:val="auto"/>
                <w:kern w:val="0"/>
                <w:sz w:val="24"/>
                <w:szCs w:val="24"/>
                <w:highlight w:val="none"/>
              </w:rPr>
              <w:t>2.8GHz</w:t>
            </w:r>
            <w:r>
              <w:rPr>
                <w:rFonts w:hint="eastAsia" w:ascii="Times New Roman" w:hAnsi="Times New Roman"/>
                <w:color w:val="auto"/>
                <w:kern w:val="0"/>
                <w:sz w:val="24"/>
                <w:szCs w:val="24"/>
                <w:highlight w:val="none"/>
              </w:rPr>
              <w:t>；</w:t>
            </w:r>
          </w:p>
          <w:p w14:paraId="06B74EAD">
            <w:pPr>
              <w:widowControl/>
              <w:spacing w:line="360" w:lineRule="auto"/>
              <w:rPr>
                <w:rFonts w:ascii="Times New Roman" w:hAnsi="Times New Roman"/>
                <w:color w:val="auto"/>
                <w:kern w:val="0"/>
                <w:sz w:val="24"/>
                <w:szCs w:val="24"/>
                <w:highlight w:val="none"/>
              </w:rPr>
            </w:pPr>
            <w:r>
              <w:rPr>
                <w:rFonts w:ascii="Times New Roman" w:hAnsi="Times New Roman"/>
                <w:color w:val="auto"/>
                <w:kern w:val="0"/>
                <w:sz w:val="24"/>
                <w:szCs w:val="24"/>
                <w:highlight w:val="none"/>
              </w:rPr>
              <w:t>CPU</w:t>
            </w:r>
            <w:r>
              <w:rPr>
                <w:rFonts w:hint="eastAsia" w:ascii="Times New Roman" w:hAnsi="Times New Roman"/>
                <w:color w:val="auto"/>
                <w:kern w:val="0"/>
                <w:sz w:val="24"/>
                <w:szCs w:val="24"/>
                <w:highlight w:val="none"/>
              </w:rPr>
              <w:t>核心数量：≥</w:t>
            </w:r>
            <w:r>
              <w:rPr>
                <w:rFonts w:ascii="Times New Roman" w:hAnsi="Times New Roman"/>
                <w:color w:val="auto"/>
                <w:kern w:val="0"/>
                <w:sz w:val="24"/>
                <w:szCs w:val="24"/>
                <w:highlight w:val="none"/>
              </w:rPr>
              <w:t>8</w:t>
            </w:r>
            <w:r>
              <w:rPr>
                <w:rFonts w:hint="eastAsia" w:ascii="Times New Roman" w:hAnsi="Times New Roman"/>
                <w:color w:val="auto"/>
                <w:kern w:val="0"/>
                <w:sz w:val="24"/>
                <w:szCs w:val="24"/>
                <w:highlight w:val="none"/>
              </w:rPr>
              <w:t>核；</w:t>
            </w:r>
          </w:p>
          <w:p w14:paraId="0D05D6A0">
            <w:pPr>
              <w:widowControl/>
              <w:spacing w:line="360" w:lineRule="auto"/>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内存：≥</w:t>
            </w:r>
            <w:r>
              <w:rPr>
                <w:rFonts w:ascii="Times New Roman" w:hAnsi="Times New Roman"/>
                <w:color w:val="auto"/>
                <w:kern w:val="0"/>
                <w:sz w:val="24"/>
                <w:szCs w:val="24"/>
                <w:highlight w:val="none"/>
              </w:rPr>
              <w:t>16GB</w:t>
            </w:r>
            <w:r>
              <w:rPr>
                <w:rFonts w:hint="eastAsia" w:ascii="Times New Roman" w:hAnsi="Times New Roman"/>
                <w:color w:val="auto"/>
                <w:kern w:val="0"/>
                <w:sz w:val="24"/>
                <w:szCs w:val="24"/>
                <w:highlight w:val="none"/>
              </w:rPr>
              <w:t>；</w:t>
            </w:r>
          </w:p>
          <w:p w14:paraId="5F1A928F">
            <w:pPr>
              <w:widowControl/>
              <w:spacing w:line="360" w:lineRule="auto"/>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系统盘：≥</w:t>
            </w:r>
            <w:r>
              <w:rPr>
                <w:rFonts w:ascii="Times New Roman" w:hAnsi="Times New Roman"/>
                <w:color w:val="auto"/>
                <w:kern w:val="0"/>
                <w:sz w:val="24"/>
                <w:szCs w:val="24"/>
                <w:highlight w:val="none"/>
              </w:rPr>
              <w:t>256GB</w:t>
            </w:r>
            <w:r>
              <w:rPr>
                <w:rFonts w:hint="eastAsia" w:ascii="Times New Roman" w:hAnsi="Times New Roman"/>
                <w:color w:val="auto"/>
                <w:kern w:val="0"/>
                <w:sz w:val="24"/>
                <w:szCs w:val="24"/>
                <w:highlight w:val="none"/>
              </w:rPr>
              <w:t>；</w:t>
            </w:r>
          </w:p>
          <w:p w14:paraId="2EFD7155">
            <w:pPr>
              <w:widowControl/>
              <w:spacing w:line="360" w:lineRule="auto"/>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数据盘：≥</w:t>
            </w:r>
            <w:r>
              <w:rPr>
                <w:rFonts w:ascii="Times New Roman" w:hAnsi="Times New Roman"/>
                <w:color w:val="auto"/>
                <w:kern w:val="0"/>
                <w:sz w:val="24"/>
                <w:szCs w:val="24"/>
                <w:highlight w:val="none"/>
              </w:rPr>
              <w:t>2TB</w:t>
            </w:r>
            <w:r>
              <w:rPr>
                <w:rFonts w:hint="eastAsia" w:ascii="Times New Roman" w:hAnsi="Times New Roman"/>
                <w:color w:val="auto"/>
                <w:kern w:val="0"/>
                <w:sz w:val="24"/>
                <w:szCs w:val="24"/>
                <w:highlight w:val="none"/>
              </w:rPr>
              <w:t>；</w:t>
            </w:r>
          </w:p>
          <w:p w14:paraId="10204552">
            <w:pPr>
              <w:widowControl/>
              <w:spacing w:line="360" w:lineRule="auto"/>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显卡：显存容量≥</w:t>
            </w:r>
            <w:r>
              <w:rPr>
                <w:rFonts w:ascii="Times New Roman" w:hAnsi="Times New Roman"/>
                <w:color w:val="auto"/>
                <w:kern w:val="0"/>
                <w:sz w:val="24"/>
                <w:szCs w:val="24"/>
                <w:highlight w:val="none"/>
              </w:rPr>
              <w:t>8G</w:t>
            </w:r>
            <w:r>
              <w:rPr>
                <w:rFonts w:hint="eastAsia" w:ascii="Times New Roman" w:hAnsi="Times New Roman"/>
                <w:color w:val="auto"/>
                <w:kern w:val="0"/>
                <w:sz w:val="24"/>
                <w:szCs w:val="24"/>
                <w:highlight w:val="none"/>
              </w:rPr>
              <w:t>；</w:t>
            </w:r>
          </w:p>
          <w:p w14:paraId="68D20FA1">
            <w:pPr>
              <w:widowControl/>
              <w:spacing w:line="360" w:lineRule="auto"/>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操作系统：国产操作系统；</w:t>
            </w:r>
          </w:p>
        </w:tc>
      </w:tr>
    </w:tbl>
    <w:p w14:paraId="65F9A156">
      <w:pPr>
        <w:pStyle w:val="4"/>
        <w:ind w:left="0" w:firstLine="0" w:firstLineChars="0"/>
        <w:jc w:val="both"/>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 xml:space="preserve">3.2.3 </w:t>
      </w:r>
      <w:r>
        <w:rPr>
          <w:rFonts w:hint="eastAsia" w:ascii="Times New Roman" w:hAnsi="Times New Roman" w:eastAsia="宋体" w:cs="Times New Roman"/>
          <w:color w:val="auto"/>
          <w:szCs w:val="24"/>
          <w:highlight w:val="none"/>
          <w:lang w:val="en-US"/>
        </w:rPr>
        <w:t>塔下方舱内相关设备</w:t>
      </w:r>
      <w:r>
        <w:rPr>
          <w:rFonts w:hint="eastAsia" w:ascii="Times New Roman" w:hAnsi="Times New Roman" w:eastAsia="宋体" w:cs="Times New Roman"/>
          <w:color w:val="auto"/>
          <w:szCs w:val="24"/>
          <w:highlight w:val="none"/>
        </w:rPr>
        <w:t>技术指标要求</w:t>
      </w:r>
    </w:p>
    <w:tbl>
      <w:tblPr>
        <w:tblStyle w:val="12"/>
        <w:tblW w:w="52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1849"/>
        <w:gridCol w:w="6386"/>
      </w:tblGrid>
      <w:tr w14:paraId="35D9D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62" w:type="pct"/>
            <w:shd w:val="clear" w:color="auto" w:fill="auto"/>
            <w:vAlign w:val="center"/>
          </w:tcPr>
          <w:p w14:paraId="5F8BE744">
            <w:pPr>
              <w:widowControl/>
              <w:spacing w:line="360" w:lineRule="auto"/>
              <w:jc w:val="center"/>
              <w:rPr>
                <w:rFonts w:ascii="Times New Roman" w:hAnsi="Times New Roman"/>
                <w:b/>
                <w:color w:val="auto"/>
                <w:kern w:val="0"/>
                <w:sz w:val="24"/>
                <w:szCs w:val="24"/>
                <w:highlight w:val="none"/>
              </w:rPr>
            </w:pPr>
            <w:r>
              <w:rPr>
                <w:rFonts w:hint="eastAsia" w:ascii="Times New Roman" w:hAnsi="Times New Roman"/>
                <w:b/>
                <w:color w:val="auto"/>
                <w:kern w:val="0"/>
                <w:sz w:val="24"/>
                <w:szCs w:val="24"/>
                <w:highlight w:val="none"/>
              </w:rPr>
              <w:t>序号</w:t>
            </w:r>
          </w:p>
        </w:tc>
        <w:tc>
          <w:tcPr>
            <w:tcW w:w="1019" w:type="pct"/>
            <w:shd w:val="clear" w:color="auto" w:fill="auto"/>
            <w:vAlign w:val="center"/>
          </w:tcPr>
          <w:p w14:paraId="0C1D4EDD">
            <w:pPr>
              <w:widowControl/>
              <w:spacing w:line="360" w:lineRule="auto"/>
              <w:rPr>
                <w:rFonts w:ascii="Times New Roman" w:hAnsi="Times New Roman"/>
                <w:b/>
                <w:color w:val="auto"/>
                <w:kern w:val="0"/>
                <w:sz w:val="24"/>
                <w:szCs w:val="24"/>
                <w:highlight w:val="none"/>
              </w:rPr>
            </w:pPr>
            <w:r>
              <w:rPr>
                <w:rFonts w:hint="eastAsia" w:ascii="Times New Roman" w:hAnsi="Times New Roman"/>
                <w:b/>
                <w:color w:val="auto"/>
                <w:kern w:val="0"/>
                <w:sz w:val="24"/>
                <w:szCs w:val="24"/>
                <w:highlight w:val="none"/>
              </w:rPr>
              <w:t>项目</w:t>
            </w:r>
          </w:p>
        </w:tc>
        <w:tc>
          <w:tcPr>
            <w:tcW w:w="3519" w:type="pct"/>
            <w:shd w:val="clear" w:color="auto" w:fill="auto"/>
            <w:vAlign w:val="center"/>
          </w:tcPr>
          <w:p w14:paraId="5CFEF392">
            <w:pPr>
              <w:widowControl/>
              <w:spacing w:line="360" w:lineRule="auto"/>
              <w:rPr>
                <w:rFonts w:ascii="Times New Roman" w:hAnsi="Times New Roman"/>
                <w:b/>
                <w:color w:val="auto"/>
                <w:kern w:val="0"/>
                <w:sz w:val="24"/>
                <w:szCs w:val="24"/>
                <w:highlight w:val="none"/>
              </w:rPr>
            </w:pPr>
            <w:r>
              <w:rPr>
                <w:rFonts w:hint="eastAsia" w:ascii="Times New Roman" w:hAnsi="Times New Roman"/>
                <w:b/>
                <w:color w:val="auto"/>
                <w:kern w:val="0"/>
                <w:sz w:val="24"/>
                <w:szCs w:val="24"/>
                <w:highlight w:val="none"/>
              </w:rPr>
              <w:t>技术指标</w:t>
            </w:r>
          </w:p>
        </w:tc>
      </w:tr>
      <w:tr w14:paraId="2C034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62" w:type="pct"/>
            <w:shd w:val="clear" w:color="auto" w:fill="auto"/>
            <w:vAlign w:val="center"/>
          </w:tcPr>
          <w:p w14:paraId="131BDF6B">
            <w:pPr>
              <w:widowControl/>
              <w:spacing w:line="360" w:lineRule="auto"/>
              <w:jc w:val="center"/>
              <w:rPr>
                <w:rFonts w:ascii="Times New Roman" w:hAnsi="Times New Roman"/>
                <w:color w:val="auto"/>
                <w:kern w:val="0"/>
                <w:sz w:val="24"/>
                <w:szCs w:val="24"/>
                <w:highlight w:val="none"/>
              </w:rPr>
            </w:pPr>
            <w:r>
              <w:rPr>
                <w:rFonts w:ascii="Times New Roman" w:hAnsi="Times New Roman"/>
                <w:color w:val="auto"/>
                <w:kern w:val="0"/>
                <w:sz w:val="24"/>
                <w:szCs w:val="24"/>
                <w:highlight w:val="none"/>
              </w:rPr>
              <w:t>1</w:t>
            </w:r>
          </w:p>
        </w:tc>
        <w:tc>
          <w:tcPr>
            <w:tcW w:w="1019" w:type="pct"/>
            <w:shd w:val="clear" w:color="auto" w:fill="auto"/>
            <w:vAlign w:val="center"/>
          </w:tcPr>
          <w:p w14:paraId="78CAA115">
            <w:pPr>
              <w:widowControl/>
              <w:spacing w:line="360" w:lineRule="auto"/>
              <w:rPr>
                <w:rFonts w:ascii="Times New Roman" w:hAnsi="Times New Roman"/>
                <w:color w:val="auto"/>
                <w:kern w:val="0"/>
                <w:sz w:val="24"/>
                <w:szCs w:val="24"/>
                <w:highlight w:val="none"/>
              </w:rPr>
            </w:pPr>
            <w:r>
              <w:rPr>
                <w:rFonts w:ascii="Times New Roman" w:hAnsi="Times New Roman"/>
                <w:color w:val="auto"/>
                <w:kern w:val="0"/>
                <w:sz w:val="24"/>
                <w:szCs w:val="24"/>
                <w:highlight w:val="none"/>
              </w:rPr>
              <w:t>UPS</w:t>
            </w:r>
            <w:r>
              <w:rPr>
                <w:rFonts w:hint="eastAsia" w:ascii="Times New Roman" w:hAnsi="Times New Roman"/>
                <w:color w:val="auto"/>
                <w:kern w:val="0"/>
                <w:sz w:val="24"/>
                <w:szCs w:val="24"/>
                <w:highlight w:val="none"/>
              </w:rPr>
              <w:t>主机</w:t>
            </w:r>
          </w:p>
        </w:tc>
        <w:tc>
          <w:tcPr>
            <w:tcW w:w="3519" w:type="pct"/>
            <w:shd w:val="clear" w:color="auto" w:fill="auto"/>
            <w:vAlign w:val="center"/>
          </w:tcPr>
          <w:p w14:paraId="6CA9C395">
            <w:pPr>
              <w:widowControl/>
              <w:spacing w:line="360" w:lineRule="auto"/>
              <w:rPr>
                <w:rFonts w:ascii="Times New Roman" w:hAnsi="Times New Roman"/>
                <w:color w:val="auto"/>
                <w:kern w:val="0"/>
                <w:sz w:val="24"/>
                <w:szCs w:val="24"/>
                <w:highlight w:val="none"/>
              </w:rPr>
            </w:pPr>
            <w:r>
              <w:rPr>
                <w:rFonts w:ascii="Times New Roman" w:hAnsi="Times New Roman"/>
                <w:color w:val="auto"/>
                <w:kern w:val="0"/>
                <w:sz w:val="24"/>
                <w:szCs w:val="24"/>
                <w:highlight w:val="none"/>
              </w:rPr>
              <w:t>20kW UPS</w:t>
            </w:r>
            <w:r>
              <w:rPr>
                <w:rFonts w:hint="eastAsia" w:ascii="Times New Roman" w:hAnsi="Times New Roman"/>
                <w:color w:val="auto"/>
                <w:kern w:val="0"/>
                <w:sz w:val="24"/>
                <w:szCs w:val="24"/>
                <w:highlight w:val="none"/>
              </w:rPr>
              <w:t>不间断电源主机</w:t>
            </w:r>
          </w:p>
        </w:tc>
      </w:tr>
      <w:tr w14:paraId="5921B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62" w:type="pct"/>
            <w:shd w:val="clear" w:color="auto" w:fill="auto"/>
            <w:vAlign w:val="center"/>
          </w:tcPr>
          <w:p w14:paraId="34A92DB1">
            <w:pPr>
              <w:widowControl/>
              <w:spacing w:line="360" w:lineRule="auto"/>
              <w:jc w:val="center"/>
              <w:rPr>
                <w:rFonts w:ascii="Times New Roman" w:hAnsi="Times New Roman"/>
                <w:color w:val="auto"/>
                <w:kern w:val="0"/>
                <w:sz w:val="24"/>
                <w:szCs w:val="24"/>
                <w:highlight w:val="none"/>
              </w:rPr>
            </w:pPr>
            <w:r>
              <w:rPr>
                <w:rFonts w:ascii="Times New Roman" w:hAnsi="Times New Roman"/>
                <w:color w:val="auto"/>
                <w:kern w:val="0"/>
                <w:sz w:val="24"/>
                <w:szCs w:val="24"/>
                <w:highlight w:val="none"/>
              </w:rPr>
              <w:t>2</w:t>
            </w:r>
          </w:p>
        </w:tc>
        <w:tc>
          <w:tcPr>
            <w:tcW w:w="1019" w:type="pct"/>
            <w:shd w:val="clear" w:color="auto" w:fill="auto"/>
            <w:vAlign w:val="center"/>
          </w:tcPr>
          <w:p w14:paraId="143D71CC">
            <w:pPr>
              <w:widowControl/>
              <w:spacing w:line="360" w:lineRule="auto"/>
              <w:rPr>
                <w:rFonts w:ascii="Times New Roman" w:hAnsi="Times New Roman"/>
                <w:color w:val="auto"/>
                <w:kern w:val="0"/>
                <w:sz w:val="24"/>
                <w:szCs w:val="24"/>
                <w:highlight w:val="none"/>
              </w:rPr>
            </w:pPr>
            <w:r>
              <w:rPr>
                <w:rFonts w:ascii="Times New Roman" w:hAnsi="Times New Roman"/>
                <w:color w:val="auto"/>
                <w:kern w:val="0"/>
                <w:sz w:val="24"/>
                <w:szCs w:val="24"/>
                <w:highlight w:val="none"/>
              </w:rPr>
              <w:t>UPS</w:t>
            </w:r>
            <w:r>
              <w:rPr>
                <w:rFonts w:hint="eastAsia" w:ascii="Times New Roman" w:hAnsi="Times New Roman"/>
                <w:color w:val="auto"/>
                <w:kern w:val="0"/>
                <w:sz w:val="24"/>
                <w:szCs w:val="24"/>
                <w:highlight w:val="none"/>
              </w:rPr>
              <w:t>电池</w:t>
            </w:r>
          </w:p>
        </w:tc>
        <w:tc>
          <w:tcPr>
            <w:tcW w:w="3519" w:type="pct"/>
            <w:shd w:val="clear" w:color="auto" w:fill="auto"/>
            <w:vAlign w:val="center"/>
          </w:tcPr>
          <w:p w14:paraId="648D7C90">
            <w:pPr>
              <w:widowControl/>
              <w:spacing w:line="360" w:lineRule="auto"/>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免维护胶体铅酸蓄电池，</w:t>
            </w:r>
            <w:r>
              <w:rPr>
                <w:rFonts w:ascii="Times New Roman" w:hAnsi="Times New Roman"/>
                <w:color w:val="auto"/>
                <w:kern w:val="0"/>
                <w:sz w:val="24"/>
                <w:szCs w:val="24"/>
                <w:highlight w:val="none"/>
              </w:rPr>
              <w:t>12-120AH</w:t>
            </w:r>
          </w:p>
        </w:tc>
      </w:tr>
      <w:tr w14:paraId="7700E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462" w:type="pct"/>
            <w:shd w:val="clear" w:color="auto" w:fill="auto"/>
            <w:vAlign w:val="center"/>
          </w:tcPr>
          <w:p w14:paraId="7C3FBEE2">
            <w:pPr>
              <w:widowControl/>
              <w:spacing w:line="360" w:lineRule="auto"/>
              <w:jc w:val="center"/>
              <w:rPr>
                <w:rFonts w:ascii="Times New Roman" w:hAnsi="Times New Roman"/>
                <w:color w:val="auto"/>
                <w:kern w:val="0"/>
                <w:sz w:val="24"/>
                <w:szCs w:val="24"/>
                <w:highlight w:val="none"/>
              </w:rPr>
            </w:pPr>
            <w:r>
              <w:rPr>
                <w:rFonts w:ascii="Times New Roman" w:hAnsi="Times New Roman"/>
                <w:color w:val="auto"/>
                <w:kern w:val="0"/>
                <w:sz w:val="24"/>
                <w:szCs w:val="24"/>
                <w:highlight w:val="none"/>
              </w:rPr>
              <w:t>3</w:t>
            </w:r>
          </w:p>
        </w:tc>
        <w:tc>
          <w:tcPr>
            <w:tcW w:w="1019" w:type="pct"/>
            <w:shd w:val="clear" w:color="auto" w:fill="auto"/>
            <w:vAlign w:val="center"/>
          </w:tcPr>
          <w:p w14:paraId="63DA044A">
            <w:pPr>
              <w:widowControl/>
              <w:spacing w:line="360" w:lineRule="auto"/>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配电箱</w:t>
            </w:r>
            <w:r>
              <w:rPr>
                <w:rFonts w:ascii="Times New Roman" w:hAnsi="Times New Roman"/>
                <w:color w:val="auto"/>
                <w:kern w:val="0"/>
                <w:sz w:val="24"/>
                <w:szCs w:val="24"/>
                <w:highlight w:val="none"/>
              </w:rPr>
              <w:t>1</w:t>
            </w:r>
            <w:r>
              <w:rPr>
                <w:rFonts w:hint="eastAsia" w:ascii="Times New Roman" w:hAnsi="Times New Roman"/>
                <w:color w:val="auto"/>
                <w:kern w:val="0"/>
                <w:sz w:val="24"/>
                <w:szCs w:val="24"/>
                <w:highlight w:val="none"/>
              </w:rPr>
              <w:t>：</w:t>
            </w:r>
            <w:r>
              <w:rPr>
                <w:rFonts w:ascii="Times New Roman" w:hAnsi="Times New Roman"/>
                <w:color w:val="auto"/>
                <w:kern w:val="0"/>
                <w:sz w:val="24"/>
                <w:szCs w:val="24"/>
                <w:highlight w:val="none"/>
              </w:rPr>
              <w:t>AC-380V</w:t>
            </w:r>
          </w:p>
        </w:tc>
        <w:tc>
          <w:tcPr>
            <w:tcW w:w="3519" w:type="pct"/>
            <w:shd w:val="clear" w:color="auto" w:fill="auto"/>
            <w:vAlign w:val="center"/>
          </w:tcPr>
          <w:p w14:paraId="73CDDADB">
            <w:pPr>
              <w:widowControl/>
              <w:spacing w:line="360" w:lineRule="auto"/>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市电输入配电箱（塔底方舱）：</w:t>
            </w:r>
            <w:r>
              <w:rPr>
                <w:rFonts w:ascii="Times New Roman" w:hAnsi="Times New Roman"/>
                <w:color w:val="auto"/>
                <w:kern w:val="0"/>
                <w:sz w:val="24"/>
                <w:szCs w:val="24"/>
                <w:highlight w:val="none"/>
              </w:rPr>
              <w:t>380V/15KW</w:t>
            </w:r>
            <w:r>
              <w:rPr>
                <w:rFonts w:hint="eastAsia" w:ascii="Times New Roman" w:hAnsi="Times New Roman"/>
                <w:color w:val="auto"/>
                <w:kern w:val="0"/>
                <w:sz w:val="24"/>
                <w:szCs w:val="24"/>
                <w:highlight w:val="none"/>
              </w:rPr>
              <w:t>；</w:t>
            </w:r>
            <w:r>
              <w:rPr>
                <w:rFonts w:ascii="Times New Roman" w:hAnsi="Times New Roman"/>
                <w:color w:val="auto"/>
                <w:kern w:val="0"/>
                <w:sz w:val="24"/>
                <w:szCs w:val="24"/>
                <w:highlight w:val="none"/>
              </w:rPr>
              <w:t>1+2</w:t>
            </w:r>
            <w:r>
              <w:rPr>
                <w:rFonts w:hint="eastAsia" w:ascii="Times New Roman" w:hAnsi="Times New Roman"/>
                <w:color w:val="auto"/>
                <w:kern w:val="0"/>
                <w:sz w:val="24"/>
                <w:szCs w:val="24"/>
                <w:highlight w:val="none"/>
              </w:rPr>
              <w:t>级复合型浪涌保护；带电源指示灯及电能检测。</w:t>
            </w:r>
          </w:p>
        </w:tc>
      </w:tr>
      <w:tr w14:paraId="7403B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62" w:type="pct"/>
            <w:shd w:val="clear" w:color="auto" w:fill="auto"/>
            <w:vAlign w:val="center"/>
          </w:tcPr>
          <w:p w14:paraId="773AA9E1">
            <w:pPr>
              <w:widowControl/>
              <w:spacing w:line="360" w:lineRule="auto"/>
              <w:jc w:val="center"/>
              <w:rPr>
                <w:rFonts w:ascii="Times New Roman" w:hAnsi="Times New Roman"/>
                <w:color w:val="auto"/>
                <w:kern w:val="0"/>
                <w:sz w:val="24"/>
                <w:szCs w:val="24"/>
                <w:highlight w:val="none"/>
              </w:rPr>
            </w:pPr>
            <w:r>
              <w:rPr>
                <w:rFonts w:ascii="Times New Roman" w:hAnsi="Times New Roman"/>
                <w:color w:val="auto"/>
                <w:kern w:val="0"/>
                <w:sz w:val="24"/>
                <w:szCs w:val="24"/>
                <w:highlight w:val="none"/>
              </w:rPr>
              <w:t>4</w:t>
            </w:r>
          </w:p>
        </w:tc>
        <w:tc>
          <w:tcPr>
            <w:tcW w:w="1019" w:type="pct"/>
            <w:shd w:val="clear" w:color="auto" w:fill="auto"/>
            <w:vAlign w:val="center"/>
          </w:tcPr>
          <w:p w14:paraId="02214BDE">
            <w:pPr>
              <w:widowControl/>
              <w:spacing w:line="360" w:lineRule="auto"/>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配电箱</w:t>
            </w:r>
            <w:r>
              <w:rPr>
                <w:rFonts w:ascii="Times New Roman" w:hAnsi="Times New Roman"/>
                <w:color w:val="auto"/>
                <w:kern w:val="0"/>
                <w:sz w:val="24"/>
                <w:szCs w:val="24"/>
                <w:highlight w:val="none"/>
              </w:rPr>
              <w:t>2</w:t>
            </w:r>
            <w:r>
              <w:rPr>
                <w:rFonts w:hint="eastAsia" w:ascii="Times New Roman" w:hAnsi="Times New Roman"/>
                <w:color w:val="auto"/>
                <w:kern w:val="0"/>
                <w:sz w:val="24"/>
                <w:szCs w:val="24"/>
                <w:highlight w:val="none"/>
              </w:rPr>
              <w:t>：</w:t>
            </w:r>
            <w:r>
              <w:rPr>
                <w:rFonts w:ascii="Times New Roman" w:hAnsi="Times New Roman"/>
                <w:color w:val="auto"/>
                <w:kern w:val="0"/>
                <w:sz w:val="24"/>
                <w:szCs w:val="24"/>
                <w:highlight w:val="none"/>
              </w:rPr>
              <w:t>AC-380V-1</w:t>
            </w:r>
          </w:p>
        </w:tc>
        <w:tc>
          <w:tcPr>
            <w:tcW w:w="3519" w:type="pct"/>
            <w:shd w:val="clear" w:color="auto" w:fill="auto"/>
            <w:vAlign w:val="center"/>
          </w:tcPr>
          <w:p w14:paraId="0A989829">
            <w:pPr>
              <w:widowControl/>
              <w:spacing w:line="360" w:lineRule="auto"/>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塔顶配电箱（塔顶二平台）：</w:t>
            </w:r>
            <w:r>
              <w:rPr>
                <w:rFonts w:ascii="Times New Roman" w:hAnsi="Times New Roman"/>
                <w:color w:val="auto"/>
                <w:kern w:val="0"/>
                <w:sz w:val="24"/>
                <w:szCs w:val="24"/>
                <w:highlight w:val="none"/>
              </w:rPr>
              <w:t>380V/12KW</w:t>
            </w:r>
            <w:r>
              <w:rPr>
                <w:rFonts w:hint="eastAsia" w:ascii="Times New Roman" w:hAnsi="Times New Roman"/>
                <w:color w:val="auto"/>
                <w:kern w:val="0"/>
                <w:sz w:val="24"/>
                <w:szCs w:val="24"/>
                <w:highlight w:val="none"/>
              </w:rPr>
              <w:t>；满足户外使用要求。</w:t>
            </w:r>
          </w:p>
        </w:tc>
      </w:tr>
      <w:tr w14:paraId="43955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62" w:type="pct"/>
            <w:shd w:val="clear" w:color="auto" w:fill="auto"/>
            <w:vAlign w:val="center"/>
          </w:tcPr>
          <w:p w14:paraId="3DBB1151">
            <w:pPr>
              <w:widowControl/>
              <w:spacing w:line="360" w:lineRule="auto"/>
              <w:jc w:val="center"/>
              <w:rPr>
                <w:rFonts w:ascii="Times New Roman" w:hAnsi="Times New Roman"/>
                <w:color w:val="auto"/>
                <w:kern w:val="0"/>
                <w:sz w:val="24"/>
                <w:szCs w:val="24"/>
                <w:highlight w:val="none"/>
              </w:rPr>
            </w:pPr>
            <w:r>
              <w:rPr>
                <w:rFonts w:ascii="Times New Roman" w:hAnsi="Times New Roman"/>
                <w:color w:val="auto"/>
                <w:kern w:val="0"/>
                <w:sz w:val="24"/>
                <w:szCs w:val="24"/>
                <w:highlight w:val="none"/>
              </w:rPr>
              <w:t>5</w:t>
            </w:r>
          </w:p>
        </w:tc>
        <w:tc>
          <w:tcPr>
            <w:tcW w:w="1019" w:type="pct"/>
            <w:shd w:val="clear" w:color="auto" w:fill="auto"/>
            <w:vAlign w:val="center"/>
          </w:tcPr>
          <w:p w14:paraId="72A3D2F4">
            <w:pPr>
              <w:widowControl/>
              <w:spacing w:line="360" w:lineRule="auto"/>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配电箱</w:t>
            </w:r>
            <w:r>
              <w:rPr>
                <w:rFonts w:ascii="Times New Roman" w:hAnsi="Times New Roman"/>
                <w:color w:val="auto"/>
                <w:kern w:val="0"/>
                <w:sz w:val="24"/>
                <w:szCs w:val="24"/>
                <w:highlight w:val="none"/>
              </w:rPr>
              <w:t>3</w:t>
            </w:r>
            <w:r>
              <w:rPr>
                <w:rFonts w:hint="eastAsia" w:ascii="Times New Roman" w:hAnsi="Times New Roman"/>
                <w:color w:val="auto"/>
                <w:kern w:val="0"/>
                <w:sz w:val="24"/>
                <w:szCs w:val="24"/>
                <w:highlight w:val="none"/>
              </w:rPr>
              <w:t>：</w:t>
            </w:r>
            <w:r>
              <w:rPr>
                <w:rFonts w:ascii="Times New Roman" w:hAnsi="Times New Roman"/>
                <w:color w:val="auto"/>
                <w:kern w:val="0"/>
                <w:sz w:val="24"/>
                <w:szCs w:val="24"/>
                <w:highlight w:val="none"/>
              </w:rPr>
              <w:t>AC-380V-2</w:t>
            </w:r>
          </w:p>
        </w:tc>
        <w:tc>
          <w:tcPr>
            <w:tcW w:w="3519" w:type="pct"/>
            <w:shd w:val="clear" w:color="auto" w:fill="auto"/>
            <w:vAlign w:val="center"/>
          </w:tcPr>
          <w:p w14:paraId="45F8670D">
            <w:pPr>
              <w:widowControl/>
              <w:spacing w:line="360" w:lineRule="auto"/>
              <w:rPr>
                <w:rFonts w:ascii="Times New Roman" w:hAnsi="Times New Roman"/>
                <w:color w:val="auto"/>
                <w:kern w:val="0"/>
                <w:sz w:val="24"/>
                <w:szCs w:val="24"/>
                <w:highlight w:val="none"/>
              </w:rPr>
            </w:pPr>
            <w:r>
              <w:rPr>
                <w:rFonts w:ascii="Times New Roman" w:hAnsi="Times New Roman"/>
                <w:color w:val="auto"/>
                <w:kern w:val="0"/>
                <w:sz w:val="24"/>
                <w:szCs w:val="24"/>
                <w:highlight w:val="none"/>
              </w:rPr>
              <w:t>UPS</w:t>
            </w:r>
            <w:r>
              <w:rPr>
                <w:rFonts w:hint="eastAsia" w:ascii="Times New Roman" w:hAnsi="Times New Roman"/>
                <w:color w:val="auto"/>
                <w:kern w:val="0"/>
                <w:sz w:val="24"/>
                <w:szCs w:val="24"/>
                <w:highlight w:val="none"/>
              </w:rPr>
              <w:t>输出配电箱（塔底方舱）：</w:t>
            </w:r>
            <w:r>
              <w:rPr>
                <w:rFonts w:ascii="Times New Roman" w:hAnsi="Times New Roman"/>
                <w:color w:val="auto"/>
                <w:kern w:val="0"/>
                <w:sz w:val="24"/>
                <w:szCs w:val="24"/>
                <w:highlight w:val="none"/>
              </w:rPr>
              <w:t>380V/12KW</w:t>
            </w:r>
            <w:r>
              <w:rPr>
                <w:rFonts w:hint="eastAsia" w:ascii="Times New Roman" w:hAnsi="Times New Roman"/>
                <w:color w:val="auto"/>
                <w:kern w:val="0"/>
                <w:sz w:val="24"/>
                <w:szCs w:val="24"/>
                <w:highlight w:val="none"/>
              </w:rPr>
              <w:t>；</w:t>
            </w:r>
            <w:r>
              <w:rPr>
                <w:rFonts w:ascii="Times New Roman" w:hAnsi="Times New Roman"/>
                <w:color w:val="auto"/>
                <w:kern w:val="0"/>
                <w:sz w:val="24"/>
                <w:szCs w:val="24"/>
                <w:highlight w:val="none"/>
              </w:rPr>
              <w:t>2</w:t>
            </w:r>
            <w:r>
              <w:rPr>
                <w:rFonts w:hint="eastAsia" w:ascii="Times New Roman" w:hAnsi="Times New Roman"/>
                <w:color w:val="auto"/>
                <w:kern w:val="0"/>
                <w:sz w:val="24"/>
                <w:szCs w:val="24"/>
                <w:highlight w:val="none"/>
              </w:rPr>
              <w:t>级浪涌保护；带电源指示灯。</w:t>
            </w:r>
          </w:p>
        </w:tc>
      </w:tr>
      <w:tr w14:paraId="5F2C1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62" w:type="pct"/>
            <w:shd w:val="clear" w:color="auto" w:fill="auto"/>
            <w:vAlign w:val="center"/>
          </w:tcPr>
          <w:p w14:paraId="78AA9E44">
            <w:pPr>
              <w:widowControl/>
              <w:spacing w:line="360" w:lineRule="auto"/>
              <w:jc w:val="center"/>
              <w:rPr>
                <w:rFonts w:ascii="Times New Roman" w:hAnsi="Times New Roman"/>
                <w:color w:val="auto"/>
                <w:kern w:val="0"/>
                <w:sz w:val="24"/>
                <w:szCs w:val="24"/>
                <w:highlight w:val="none"/>
              </w:rPr>
            </w:pPr>
            <w:r>
              <w:rPr>
                <w:rFonts w:ascii="Times New Roman" w:hAnsi="Times New Roman"/>
                <w:color w:val="auto"/>
                <w:kern w:val="0"/>
                <w:sz w:val="24"/>
                <w:szCs w:val="24"/>
                <w:highlight w:val="none"/>
              </w:rPr>
              <w:t>6</w:t>
            </w:r>
          </w:p>
        </w:tc>
        <w:tc>
          <w:tcPr>
            <w:tcW w:w="1019" w:type="pct"/>
            <w:shd w:val="clear" w:color="auto" w:fill="auto"/>
            <w:vAlign w:val="center"/>
          </w:tcPr>
          <w:p w14:paraId="7C620EEB">
            <w:pPr>
              <w:widowControl/>
              <w:spacing w:line="360" w:lineRule="auto"/>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配电箱</w:t>
            </w:r>
            <w:r>
              <w:rPr>
                <w:rFonts w:ascii="Times New Roman" w:hAnsi="Times New Roman"/>
                <w:color w:val="auto"/>
                <w:kern w:val="0"/>
                <w:sz w:val="24"/>
                <w:szCs w:val="24"/>
                <w:highlight w:val="none"/>
              </w:rPr>
              <w:t>DC-192V</w:t>
            </w:r>
          </w:p>
        </w:tc>
        <w:tc>
          <w:tcPr>
            <w:tcW w:w="3519" w:type="pct"/>
            <w:shd w:val="clear" w:color="auto" w:fill="auto"/>
            <w:vAlign w:val="center"/>
          </w:tcPr>
          <w:p w14:paraId="13058C56">
            <w:pPr>
              <w:widowControl/>
              <w:spacing w:line="360" w:lineRule="auto"/>
              <w:rPr>
                <w:rFonts w:ascii="Times New Roman" w:hAnsi="Times New Roman"/>
                <w:color w:val="auto"/>
                <w:kern w:val="0"/>
                <w:sz w:val="24"/>
                <w:szCs w:val="24"/>
                <w:highlight w:val="none"/>
              </w:rPr>
            </w:pPr>
            <w:r>
              <w:rPr>
                <w:rFonts w:ascii="Times New Roman" w:hAnsi="Times New Roman"/>
                <w:color w:val="auto"/>
                <w:kern w:val="0"/>
                <w:sz w:val="24"/>
                <w:szCs w:val="24"/>
                <w:highlight w:val="none"/>
              </w:rPr>
              <w:t>UPS</w:t>
            </w:r>
            <w:r>
              <w:rPr>
                <w:rFonts w:hint="eastAsia" w:ascii="Times New Roman" w:hAnsi="Times New Roman"/>
                <w:color w:val="auto"/>
                <w:kern w:val="0"/>
                <w:sz w:val="24"/>
                <w:szCs w:val="24"/>
                <w:highlight w:val="none"/>
              </w:rPr>
              <w:t>电池组配电箱（塔底方舱）：</w:t>
            </w:r>
            <w:r>
              <w:rPr>
                <w:rFonts w:ascii="Times New Roman" w:hAnsi="Times New Roman"/>
                <w:color w:val="auto"/>
                <w:kern w:val="0"/>
                <w:sz w:val="24"/>
                <w:szCs w:val="24"/>
                <w:highlight w:val="none"/>
              </w:rPr>
              <w:t>DC192V</w:t>
            </w:r>
            <w:r>
              <w:rPr>
                <w:rFonts w:hint="eastAsia" w:ascii="Times New Roman" w:hAnsi="Times New Roman"/>
                <w:color w:val="auto"/>
                <w:kern w:val="0"/>
                <w:sz w:val="24"/>
                <w:szCs w:val="24"/>
                <w:highlight w:val="none"/>
              </w:rPr>
              <w:t>；带电源指示灯与蓄电池充放电过流保护。</w:t>
            </w:r>
          </w:p>
        </w:tc>
      </w:tr>
      <w:tr w14:paraId="5E4E8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462" w:type="pct"/>
            <w:shd w:val="clear" w:color="auto" w:fill="auto"/>
            <w:vAlign w:val="center"/>
          </w:tcPr>
          <w:p w14:paraId="640EF983">
            <w:pPr>
              <w:widowControl/>
              <w:spacing w:line="360" w:lineRule="auto"/>
              <w:jc w:val="center"/>
              <w:rPr>
                <w:rFonts w:ascii="Times New Roman" w:hAnsi="Times New Roman"/>
                <w:color w:val="auto"/>
                <w:kern w:val="0"/>
                <w:sz w:val="24"/>
                <w:szCs w:val="24"/>
                <w:highlight w:val="none"/>
              </w:rPr>
            </w:pPr>
            <w:r>
              <w:rPr>
                <w:rFonts w:ascii="Times New Roman" w:hAnsi="Times New Roman"/>
                <w:color w:val="auto"/>
                <w:kern w:val="0"/>
                <w:sz w:val="24"/>
                <w:szCs w:val="24"/>
                <w:highlight w:val="none"/>
              </w:rPr>
              <w:t>7</w:t>
            </w:r>
          </w:p>
        </w:tc>
        <w:tc>
          <w:tcPr>
            <w:tcW w:w="1019" w:type="pct"/>
            <w:shd w:val="clear" w:color="auto" w:fill="auto"/>
            <w:vAlign w:val="center"/>
          </w:tcPr>
          <w:p w14:paraId="3E000010">
            <w:pPr>
              <w:widowControl/>
              <w:spacing w:line="360" w:lineRule="auto"/>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系统内部监控设施</w:t>
            </w:r>
          </w:p>
        </w:tc>
        <w:tc>
          <w:tcPr>
            <w:tcW w:w="3519" w:type="pct"/>
            <w:shd w:val="clear" w:color="auto" w:fill="auto"/>
            <w:vAlign w:val="center"/>
          </w:tcPr>
          <w:p w14:paraId="76F21F8F">
            <w:pPr>
              <w:widowControl/>
              <w:spacing w:line="360" w:lineRule="auto"/>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实现对相控阵雷达和综合方舱内部设备，以及方舱内动力与环境参数的实时监控功能</w:t>
            </w:r>
          </w:p>
        </w:tc>
      </w:tr>
      <w:tr w14:paraId="2B3B0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462" w:type="pct"/>
            <w:shd w:val="clear" w:color="auto" w:fill="auto"/>
            <w:vAlign w:val="center"/>
          </w:tcPr>
          <w:p w14:paraId="7C3CC294">
            <w:pPr>
              <w:widowControl/>
              <w:spacing w:line="360" w:lineRule="auto"/>
              <w:jc w:val="center"/>
              <w:rPr>
                <w:rFonts w:ascii="Times New Roman" w:hAnsi="Times New Roman"/>
                <w:color w:val="auto"/>
                <w:kern w:val="0"/>
                <w:sz w:val="24"/>
                <w:szCs w:val="24"/>
                <w:highlight w:val="none"/>
              </w:rPr>
            </w:pPr>
            <w:r>
              <w:rPr>
                <w:rFonts w:ascii="Times New Roman" w:hAnsi="Times New Roman"/>
                <w:color w:val="auto"/>
                <w:kern w:val="0"/>
                <w:sz w:val="24"/>
                <w:szCs w:val="24"/>
                <w:highlight w:val="none"/>
              </w:rPr>
              <w:t>8</w:t>
            </w:r>
          </w:p>
        </w:tc>
        <w:tc>
          <w:tcPr>
            <w:tcW w:w="1019" w:type="pct"/>
            <w:shd w:val="clear" w:color="auto" w:fill="auto"/>
            <w:vAlign w:val="center"/>
          </w:tcPr>
          <w:p w14:paraId="54720346">
            <w:pPr>
              <w:widowControl/>
              <w:spacing w:line="360" w:lineRule="auto"/>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电力电缆及配件</w:t>
            </w:r>
          </w:p>
        </w:tc>
        <w:tc>
          <w:tcPr>
            <w:tcW w:w="3519" w:type="pct"/>
            <w:shd w:val="clear" w:color="auto" w:fill="auto"/>
            <w:vAlign w:val="center"/>
          </w:tcPr>
          <w:p w14:paraId="14CC0153">
            <w:pPr>
              <w:widowControl/>
              <w:spacing w:line="360" w:lineRule="auto"/>
              <w:rPr>
                <w:rFonts w:ascii="Times New Roman" w:hAnsi="Times New Roman"/>
                <w:color w:val="auto"/>
                <w:kern w:val="0"/>
                <w:sz w:val="24"/>
                <w:szCs w:val="24"/>
                <w:highlight w:val="none"/>
              </w:rPr>
            </w:pPr>
            <w:r>
              <w:rPr>
                <w:rFonts w:ascii="Times New Roman" w:hAnsi="Times New Roman"/>
                <w:color w:val="auto"/>
                <w:kern w:val="0"/>
                <w:sz w:val="24"/>
                <w:szCs w:val="24"/>
                <w:highlight w:val="none"/>
              </w:rPr>
              <w:t>1</w:t>
            </w:r>
            <w:r>
              <w:rPr>
                <w:rFonts w:hint="eastAsia" w:ascii="Times New Roman" w:hAnsi="Times New Roman"/>
                <w:color w:val="auto"/>
                <w:kern w:val="0"/>
                <w:sz w:val="24"/>
                <w:szCs w:val="24"/>
                <w:highlight w:val="none"/>
              </w:rPr>
              <w:t>）</w:t>
            </w:r>
            <w:r>
              <w:rPr>
                <w:rFonts w:ascii="Times New Roman" w:hAnsi="Times New Roman"/>
                <w:color w:val="auto"/>
                <w:kern w:val="0"/>
                <w:sz w:val="24"/>
                <w:szCs w:val="24"/>
                <w:highlight w:val="none"/>
              </w:rPr>
              <w:t>RVV5*10mm</w:t>
            </w:r>
            <w:r>
              <w:rPr>
                <w:rFonts w:ascii="Times New Roman" w:hAnsi="Times New Roman"/>
                <w:color w:val="auto"/>
                <w:kern w:val="0"/>
                <w:sz w:val="24"/>
                <w:szCs w:val="24"/>
                <w:highlight w:val="none"/>
                <w:vertAlign w:val="superscript"/>
              </w:rPr>
              <w:t>2</w:t>
            </w:r>
            <w:r>
              <w:rPr>
                <w:rFonts w:hint="eastAsia" w:ascii="Times New Roman" w:hAnsi="Times New Roman"/>
                <w:color w:val="auto"/>
                <w:kern w:val="0"/>
                <w:sz w:val="24"/>
                <w:szCs w:val="24"/>
                <w:highlight w:val="none"/>
              </w:rPr>
              <w:t>电力线缆</w:t>
            </w:r>
            <w:r>
              <w:rPr>
                <w:rFonts w:ascii="Times New Roman" w:hAnsi="Times New Roman"/>
                <w:color w:val="auto"/>
                <w:kern w:val="0"/>
                <w:sz w:val="24"/>
                <w:szCs w:val="24"/>
                <w:highlight w:val="none"/>
              </w:rPr>
              <w:t>*30</w:t>
            </w:r>
            <w:r>
              <w:rPr>
                <w:rFonts w:hint="eastAsia" w:ascii="Times New Roman" w:hAnsi="Times New Roman"/>
                <w:color w:val="auto"/>
                <w:kern w:val="0"/>
                <w:sz w:val="24"/>
                <w:szCs w:val="24"/>
                <w:highlight w:val="none"/>
              </w:rPr>
              <w:t>米；</w:t>
            </w:r>
            <w:r>
              <w:rPr>
                <w:rFonts w:ascii="Times New Roman" w:hAnsi="Times New Roman"/>
                <w:color w:val="auto"/>
                <w:kern w:val="0"/>
                <w:sz w:val="24"/>
                <w:szCs w:val="24"/>
                <w:highlight w:val="none"/>
              </w:rPr>
              <w:t>2</w:t>
            </w:r>
            <w:r>
              <w:rPr>
                <w:rFonts w:hint="eastAsia" w:ascii="Times New Roman" w:hAnsi="Times New Roman"/>
                <w:color w:val="auto"/>
                <w:kern w:val="0"/>
                <w:sz w:val="24"/>
                <w:szCs w:val="24"/>
                <w:highlight w:val="none"/>
              </w:rPr>
              <w:t>）</w:t>
            </w:r>
            <w:r>
              <w:rPr>
                <w:rFonts w:ascii="Times New Roman" w:hAnsi="Times New Roman"/>
                <w:color w:val="auto"/>
                <w:kern w:val="0"/>
                <w:sz w:val="24"/>
                <w:szCs w:val="24"/>
                <w:highlight w:val="none"/>
              </w:rPr>
              <w:t>RVV3*4mm</w:t>
            </w:r>
            <w:r>
              <w:rPr>
                <w:rFonts w:ascii="Times New Roman" w:hAnsi="Times New Roman"/>
                <w:color w:val="auto"/>
                <w:kern w:val="0"/>
                <w:sz w:val="24"/>
                <w:szCs w:val="24"/>
                <w:highlight w:val="none"/>
                <w:vertAlign w:val="superscript"/>
              </w:rPr>
              <w:t>2</w:t>
            </w:r>
            <w:r>
              <w:rPr>
                <w:rFonts w:hint="eastAsia" w:ascii="Times New Roman" w:hAnsi="Times New Roman"/>
                <w:color w:val="auto"/>
                <w:kern w:val="0"/>
                <w:sz w:val="24"/>
                <w:szCs w:val="24"/>
                <w:highlight w:val="none"/>
              </w:rPr>
              <w:t>电力线缆</w:t>
            </w:r>
            <w:r>
              <w:rPr>
                <w:rFonts w:ascii="Times New Roman" w:hAnsi="Times New Roman"/>
                <w:color w:val="auto"/>
                <w:kern w:val="0"/>
                <w:sz w:val="24"/>
                <w:szCs w:val="24"/>
                <w:highlight w:val="none"/>
              </w:rPr>
              <w:t>*30</w:t>
            </w:r>
            <w:r>
              <w:rPr>
                <w:rFonts w:hint="eastAsia" w:ascii="Times New Roman" w:hAnsi="Times New Roman"/>
                <w:color w:val="auto"/>
                <w:kern w:val="0"/>
                <w:sz w:val="24"/>
                <w:szCs w:val="24"/>
                <w:highlight w:val="none"/>
              </w:rPr>
              <w:t>米；</w:t>
            </w:r>
            <w:r>
              <w:rPr>
                <w:rFonts w:ascii="Times New Roman" w:hAnsi="Times New Roman"/>
                <w:color w:val="auto"/>
                <w:kern w:val="0"/>
                <w:sz w:val="24"/>
                <w:szCs w:val="24"/>
                <w:highlight w:val="none"/>
              </w:rPr>
              <w:t>3</w:t>
            </w:r>
            <w:r>
              <w:rPr>
                <w:rFonts w:hint="eastAsia" w:ascii="Times New Roman" w:hAnsi="Times New Roman"/>
                <w:color w:val="auto"/>
                <w:kern w:val="0"/>
                <w:sz w:val="24"/>
                <w:szCs w:val="24"/>
                <w:highlight w:val="none"/>
              </w:rPr>
              <w:t>）国标</w:t>
            </w:r>
            <w:r>
              <w:rPr>
                <w:rFonts w:ascii="Times New Roman" w:hAnsi="Times New Roman"/>
                <w:color w:val="auto"/>
                <w:kern w:val="0"/>
                <w:sz w:val="24"/>
                <w:szCs w:val="24"/>
                <w:highlight w:val="none"/>
              </w:rPr>
              <w:t>16mm</w:t>
            </w:r>
            <w:r>
              <w:rPr>
                <w:rFonts w:ascii="Times New Roman" w:hAnsi="Times New Roman"/>
                <w:color w:val="auto"/>
                <w:kern w:val="0"/>
                <w:sz w:val="24"/>
                <w:szCs w:val="24"/>
                <w:highlight w:val="none"/>
                <w:vertAlign w:val="superscript"/>
              </w:rPr>
              <w:t>2</w:t>
            </w:r>
            <w:r>
              <w:rPr>
                <w:rFonts w:hint="eastAsia" w:ascii="Times New Roman" w:hAnsi="Times New Roman"/>
                <w:color w:val="auto"/>
                <w:kern w:val="0"/>
                <w:sz w:val="24"/>
                <w:szCs w:val="24"/>
                <w:highlight w:val="none"/>
              </w:rPr>
              <w:t>电力线缆</w:t>
            </w:r>
            <w:r>
              <w:rPr>
                <w:rFonts w:ascii="Times New Roman" w:hAnsi="Times New Roman"/>
                <w:color w:val="auto"/>
                <w:kern w:val="0"/>
                <w:sz w:val="24"/>
                <w:szCs w:val="24"/>
                <w:highlight w:val="none"/>
              </w:rPr>
              <w:t>*30</w:t>
            </w:r>
            <w:r>
              <w:rPr>
                <w:rFonts w:hint="eastAsia" w:ascii="Times New Roman" w:hAnsi="Times New Roman"/>
                <w:color w:val="auto"/>
                <w:kern w:val="0"/>
                <w:sz w:val="24"/>
                <w:szCs w:val="24"/>
                <w:highlight w:val="none"/>
              </w:rPr>
              <w:t>米；</w:t>
            </w:r>
            <w:r>
              <w:rPr>
                <w:rFonts w:ascii="Times New Roman" w:hAnsi="Times New Roman"/>
                <w:color w:val="auto"/>
                <w:kern w:val="0"/>
                <w:sz w:val="24"/>
                <w:szCs w:val="24"/>
                <w:highlight w:val="none"/>
              </w:rPr>
              <w:t>4</w:t>
            </w:r>
            <w:r>
              <w:rPr>
                <w:rFonts w:hint="eastAsia" w:ascii="Times New Roman" w:hAnsi="Times New Roman"/>
                <w:color w:val="auto"/>
                <w:kern w:val="0"/>
                <w:sz w:val="24"/>
                <w:szCs w:val="24"/>
                <w:highlight w:val="none"/>
              </w:rPr>
              <w:t>）航空插头动力电缆</w:t>
            </w:r>
            <w:r>
              <w:rPr>
                <w:rFonts w:ascii="Times New Roman" w:hAnsi="Times New Roman"/>
                <w:color w:val="auto"/>
                <w:kern w:val="0"/>
                <w:sz w:val="24"/>
                <w:szCs w:val="24"/>
                <w:highlight w:val="none"/>
              </w:rPr>
              <w:t>*</w:t>
            </w:r>
            <w:r>
              <w:rPr>
                <w:rFonts w:hint="eastAsia" w:ascii="Times New Roman" w:hAnsi="Times New Roman"/>
                <w:color w:val="auto"/>
                <w:kern w:val="0"/>
                <w:sz w:val="24"/>
                <w:szCs w:val="24"/>
                <w:highlight w:val="none"/>
              </w:rPr>
              <w:t>雷达整机供电线；</w:t>
            </w:r>
            <w:r>
              <w:rPr>
                <w:rFonts w:ascii="Times New Roman" w:hAnsi="Times New Roman"/>
                <w:color w:val="auto"/>
                <w:kern w:val="0"/>
                <w:sz w:val="24"/>
                <w:szCs w:val="24"/>
                <w:highlight w:val="none"/>
              </w:rPr>
              <w:t>5</w:t>
            </w:r>
            <w:r>
              <w:rPr>
                <w:rFonts w:hint="eastAsia" w:ascii="Times New Roman" w:hAnsi="Times New Roman"/>
                <w:color w:val="auto"/>
                <w:kern w:val="0"/>
                <w:sz w:val="24"/>
                <w:szCs w:val="24"/>
                <w:highlight w:val="none"/>
              </w:rPr>
              <w:t>）航空插头接地电缆</w:t>
            </w:r>
            <w:r>
              <w:rPr>
                <w:rFonts w:ascii="Times New Roman" w:hAnsi="Times New Roman"/>
                <w:color w:val="auto"/>
                <w:kern w:val="0"/>
                <w:sz w:val="24"/>
                <w:szCs w:val="24"/>
                <w:highlight w:val="none"/>
              </w:rPr>
              <w:t>*</w:t>
            </w:r>
            <w:r>
              <w:rPr>
                <w:rFonts w:hint="eastAsia" w:ascii="Times New Roman" w:hAnsi="Times New Roman"/>
                <w:color w:val="auto"/>
                <w:kern w:val="0"/>
                <w:sz w:val="24"/>
                <w:szCs w:val="24"/>
                <w:highlight w:val="none"/>
              </w:rPr>
              <w:t>雷达整机接地线。</w:t>
            </w:r>
          </w:p>
        </w:tc>
      </w:tr>
      <w:tr w14:paraId="019EF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62" w:type="pct"/>
            <w:shd w:val="clear" w:color="auto" w:fill="auto"/>
            <w:vAlign w:val="center"/>
          </w:tcPr>
          <w:p w14:paraId="448795BE">
            <w:pPr>
              <w:widowControl/>
              <w:spacing w:line="360" w:lineRule="auto"/>
              <w:jc w:val="center"/>
              <w:rPr>
                <w:rFonts w:ascii="Times New Roman" w:hAnsi="Times New Roman"/>
                <w:color w:val="auto"/>
                <w:kern w:val="0"/>
                <w:sz w:val="24"/>
                <w:szCs w:val="24"/>
                <w:highlight w:val="none"/>
              </w:rPr>
            </w:pPr>
            <w:r>
              <w:rPr>
                <w:rFonts w:ascii="Times New Roman" w:hAnsi="Times New Roman"/>
                <w:color w:val="auto"/>
                <w:kern w:val="0"/>
                <w:sz w:val="24"/>
                <w:szCs w:val="24"/>
                <w:highlight w:val="none"/>
              </w:rPr>
              <w:t>9</w:t>
            </w:r>
          </w:p>
        </w:tc>
        <w:tc>
          <w:tcPr>
            <w:tcW w:w="1019" w:type="pct"/>
            <w:shd w:val="clear" w:color="auto" w:fill="auto"/>
            <w:noWrap/>
            <w:vAlign w:val="center"/>
          </w:tcPr>
          <w:p w14:paraId="16B3EBF5">
            <w:pPr>
              <w:widowControl/>
              <w:spacing w:line="360" w:lineRule="auto"/>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通信配套设备</w:t>
            </w:r>
          </w:p>
        </w:tc>
        <w:tc>
          <w:tcPr>
            <w:tcW w:w="3519" w:type="pct"/>
            <w:shd w:val="clear" w:color="auto" w:fill="auto"/>
            <w:vAlign w:val="center"/>
          </w:tcPr>
          <w:p w14:paraId="6CBE6DCB">
            <w:pPr>
              <w:widowControl/>
              <w:spacing w:line="360" w:lineRule="auto"/>
              <w:rPr>
                <w:rFonts w:ascii="Times New Roman" w:hAnsi="Times New Roman"/>
                <w:color w:val="auto"/>
                <w:kern w:val="0"/>
                <w:sz w:val="24"/>
                <w:szCs w:val="24"/>
                <w:highlight w:val="none"/>
              </w:rPr>
            </w:pPr>
            <w:r>
              <w:rPr>
                <w:rFonts w:ascii="Times New Roman" w:hAnsi="Times New Roman"/>
                <w:color w:val="auto"/>
                <w:kern w:val="0"/>
                <w:sz w:val="24"/>
                <w:szCs w:val="24"/>
                <w:highlight w:val="none"/>
              </w:rPr>
              <w:t>1</w:t>
            </w:r>
            <w:r>
              <w:rPr>
                <w:rFonts w:hint="eastAsia" w:ascii="Times New Roman" w:hAnsi="Times New Roman"/>
                <w:color w:val="auto"/>
                <w:kern w:val="0"/>
                <w:sz w:val="24"/>
                <w:szCs w:val="24"/>
                <w:highlight w:val="none"/>
              </w:rPr>
              <w:t>）网络机柜</w:t>
            </w:r>
            <w:r>
              <w:rPr>
                <w:rFonts w:ascii="Times New Roman" w:hAnsi="Times New Roman"/>
                <w:color w:val="auto"/>
                <w:kern w:val="0"/>
                <w:sz w:val="24"/>
                <w:szCs w:val="24"/>
                <w:highlight w:val="none"/>
              </w:rPr>
              <w:t>*1</w:t>
            </w:r>
            <w:r>
              <w:rPr>
                <w:rFonts w:hint="eastAsia" w:ascii="Times New Roman" w:hAnsi="Times New Roman"/>
                <w:color w:val="auto"/>
                <w:kern w:val="0"/>
                <w:sz w:val="24"/>
                <w:szCs w:val="24"/>
                <w:highlight w:val="none"/>
              </w:rPr>
              <w:t>；</w:t>
            </w:r>
            <w:r>
              <w:rPr>
                <w:rFonts w:ascii="Times New Roman" w:hAnsi="Times New Roman"/>
                <w:color w:val="auto"/>
                <w:kern w:val="0"/>
                <w:sz w:val="24"/>
                <w:szCs w:val="24"/>
                <w:highlight w:val="none"/>
              </w:rPr>
              <w:t>2</w:t>
            </w:r>
            <w:r>
              <w:rPr>
                <w:rFonts w:hint="eastAsia" w:ascii="Times New Roman" w:hAnsi="Times New Roman"/>
                <w:color w:val="auto"/>
                <w:kern w:val="0"/>
                <w:sz w:val="24"/>
                <w:szCs w:val="24"/>
                <w:highlight w:val="none"/>
              </w:rPr>
              <w:t>）全千兆</w:t>
            </w:r>
            <w:r>
              <w:rPr>
                <w:rFonts w:ascii="Times New Roman" w:hAnsi="Times New Roman"/>
                <w:color w:val="auto"/>
                <w:kern w:val="0"/>
                <w:sz w:val="24"/>
                <w:szCs w:val="24"/>
                <w:highlight w:val="none"/>
              </w:rPr>
              <w:t>4</w:t>
            </w:r>
            <w:r>
              <w:rPr>
                <w:rFonts w:hint="eastAsia" w:ascii="Times New Roman" w:hAnsi="Times New Roman"/>
                <w:color w:val="auto"/>
                <w:kern w:val="0"/>
                <w:sz w:val="24"/>
                <w:szCs w:val="24"/>
                <w:highlight w:val="none"/>
              </w:rPr>
              <w:t>光</w:t>
            </w:r>
            <w:r>
              <w:rPr>
                <w:rFonts w:ascii="Times New Roman" w:hAnsi="Times New Roman"/>
                <w:color w:val="auto"/>
                <w:kern w:val="0"/>
                <w:sz w:val="24"/>
                <w:szCs w:val="24"/>
                <w:highlight w:val="none"/>
              </w:rPr>
              <w:t>8</w:t>
            </w:r>
            <w:r>
              <w:rPr>
                <w:rFonts w:hint="eastAsia" w:ascii="Times New Roman" w:hAnsi="Times New Roman"/>
                <w:color w:val="auto"/>
                <w:kern w:val="0"/>
                <w:sz w:val="24"/>
                <w:szCs w:val="24"/>
                <w:highlight w:val="none"/>
              </w:rPr>
              <w:t>电企业级交换机</w:t>
            </w:r>
            <w:r>
              <w:rPr>
                <w:rFonts w:ascii="Times New Roman" w:hAnsi="Times New Roman"/>
                <w:color w:val="auto"/>
                <w:kern w:val="0"/>
                <w:sz w:val="24"/>
                <w:szCs w:val="24"/>
                <w:highlight w:val="none"/>
              </w:rPr>
              <w:t>*1</w:t>
            </w:r>
            <w:r>
              <w:rPr>
                <w:rFonts w:hint="eastAsia" w:ascii="Times New Roman" w:hAnsi="Times New Roman"/>
                <w:color w:val="auto"/>
                <w:kern w:val="0"/>
                <w:sz w:val="24"/>
                <w:szCs w:val="24"/>
                <w:highlight w:val="none"/>
              </w:rPr>
              <w:t>。</w:t>
            </w:r>
          </w:p>
        </w:tc>
      </w:tr>
      <w:tr w14:paraId="6FD4E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462" w:type="pct"/>
            <w:shd w:val="clear" w:color="auto" w:fill="auto"/>
            <w:vAlign w:val="center"/>
          </w:tcPr>
          <w:p w14:paraId="6FC2FC79">
            <w:pPr>
              <w:widowControl/>
              <w:spacing w:line="360" w:lineRule="auto"/>
              <w:jc w:val="center"/>
              <w:rPr>
                <w:rFonts w:ascii="Times New Roman" w:hAnsi="Times New Roman"/>
                <w:color w:val="auto"/>
                <w:kern w:val="0"/>
                <w:sz w:val="24"/>
                <w:szCs w:val="24"/>
                <w:highlight w:val="none"/>
              </w:rPr>
            </w:pPr>
            <w:r>
              <w:rPr>
                <w:rFonts w:ascii="Times New Roman" w:hAnsi="Times New Roman"/>
                <w:color w:val="auto"/>
                <w:kern w:val="0"/>
                <w:sz w:val="24"/>
                <w:szCs w:val="24"/>
                <w:highlight w:val="none"/>
              </w:rPr>
              <w:t>10</w:t>
            </w:r>
          </w:p>
        </w:tc>
        <w:tc>
          <w:tcPr>
            <w:tcW w:w="1019" w:type="pct"/>
            <w:shd w:val="clear" w:color="auto" w:fill="auto"/>
            <w:vAlign w:val="center"/>
          </w:tcPr>
          <w:p w14:paraId="1E69AC29">
            <w:pPr>
              <w:widowControl/>
              <w:spacing w:line="360" w:lineRule="auto"/>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通信电缆及配件</w:t>
            </w:r>
          </w:p>
        </w:tc>
        <w:tc>
          <w:tcPr>
            <w:tcW w:w="3519" w:type="pct"/>
            <w:shd w:val="clear" w:color="auto" w:fill="auto"/>
            <w:vAlign w:val="center"/>
          </w:tcPr>
          <w:p w14:paraId="11E51D3A">
            <w:pPr>
              <w:widowControl/>
              <w:spacing w:line="360" w:lineRule="auto"/>
              <w:rPr>
                <w:rFonts w:ascii="Times New Roman" w:hAnsi="Times New Roman"/>
                <w:color w:val="auto"/>
                <w:kern w:val="0"/>
                <w:sz w:val="24"/>
                <w:szCs w:val="24"/>
                <w:highlight w:val="none"/>
              </w:rPr>
            </w:pPr>
            <w:r>
              <w:rPr>
                <w:rFonts w:ascii="Times New Roman" w:hAnsi="Times New Roman"/>
                <w:color w:val="auto"/>
                <w:kern w:val="0"/>
                <w:sz w:val="24"/>
                <w:szCs w:val="24"/>
                <w:highlight w:val="none"/>
              </w:rPr>
              <w:t>1</w:t>
            </w:r>
            <w:r>
              <w:rPr>
                <w:rFonts w:hint="eastAsia" w:ascii="Times New Roman" w:hAnsi="Times New Roman"/>
                <w:color w:val="auto"/>
                <w:kern w:val="0"/>
                <w:sz w:val="24"/>
                <w:szCs w:val="24"/>
                <w:highlight w:val="none"/>
              </w:rPr>
              <w:t>）</w:t>
            </w:r>
            <w:r>
              <w:rPr>
                <w:rFonts w:ascii="Times New Roman" w:hAnsi="Times New Roman"/>
                <w:color w:val="auto"/>
                <w:kern w:val="0"/>
                <w:sz w:val="24"/>
                <w:szCs w:val="24"/>
                <w:highlight w:val="none"/>
              </w:rPr>
              <w:t>12</w:t>
            </w:r>
            <w:r>
              <w:rPr>
                <w:rFonts w:hint="eastAsia" w:ascii="Times New Roman" w:hAnsi="Times New Roman"/>
                <w:color w:val="auto"/>
                <w:kern w:val="0"/>
                <w:sz w:val="24"/>
                <w:szCs w:val="24"/>
                <w:highlight w:val="none"/>
              </w:rPr>
              <w:t>芯</w:t>
            </w:r>
            <w:r>
              <w:rPr>
                <w:rFonts w:ascii="Times New Roman" w:hAnsi="Times New Roman"/>
                <w:color w:val="auto"/>
                <w:kern w:val="0"/>
                <w:sz w:val="24"/>
                <w:szCs w:val="24"/>
                <w:highlight w:val="none"/>
              </w:rPr>
              <w:t>SC</w:t>
            </w:r>
            <w:r>
              <w:rPr>
                <w:rFonts w:hint="eastAsia" w:ascii="Times New Roman" w:hAnsi="Times New Roman"/>
                <w:color w:val="auto"/>
                <w:kern w:val="0"/>
                <w:sz w:val="24"/>
                <w:szCs w:val="24"/>
                <w:highlight w:val="none"/>
              </w:rPr>
              <w:t>光纤配线盒</w:t>
            </w:r>
            <w:r>
              <w:rPr>
                <w:rFonts w:ascii="Times New Roman" w:hAnsi="Times New Roman"/>
                <w:color w:val="auto"/>
                <w:kern w:val="0"/>
                <w:sz w:val="24"/>
                <w:szCs w:val="24"/>
                <w:highlight w:val="none"/>
              </w:rPr>
              <w:t>ODF*2</w:t>
            </w:r>
            <w:r>
              <w:rPr>
                <w:rFonts w:hint="eastAsia" w:ascii="Times New Roman" w:hAnsi="Times New Roman"/>
                <w:color w:val="auto"/>
                <w:kern w:val="0"/>
                <w:sz w:val="24"/>
                <w:szCs w:val="24"/>
                <w:highlight w:val="none"/>
              </w:rPr>
              <w:t>；</w:t>
            </w:r>
            <w:r>
              <w:rPr>
                <w:rFonts w:ascii="Times New Roman" w:hAnsi="Times New Roman"/>
                <w:color w:val="auto"/>
                <w:kern w:val="0"/>
                <w:sz w:val="24"/>
                <w:szCs w:val="24"/>
                <w:highlight w:val="none"/>
              </w:rPr>
              <w:t>2</w:t>
            </w:r>
            <w:r>
              <w:rPr>
                <w:rFonts w:hint="eastAsia" w:ascii="Times New Roman" w:hAnsi="Times New Roman"/>
                <w:color w:val="auto"/>
                <w:kern w:val="0"/>
                <w:sz w:val="24"/>
                <w:szCs w:val="24"/>
                <w:highlight w:val="none"/>
              </w:rPr>
              <w:t>）</w:t>
            </w:r>
            <w:r>
              <w:rPr>
                <w:rFonts w:ascii="Times New Roman" w:hAnsi="Times New Roman"/>
                <w:color w:val="auto"/>
                <w:kern w:val="0"/>
                <w:sz w:val="24"/>
                <w:szCs w:val="24"/>
                <w:highlight w:val="none"/>
              </w:rPr>
              <w:t>30</w:t>
            </w:r>
            <w:r>
              <w:rPr>
                <w:rFonts w:hint="eastAsia" w:ascii="Times New Roman" w:hAnsi="Times New Roman"/>
                <w:color w:val="auto"/>
                <w:kern w:val="0"/>
                <w:sz w:val="24"/>
                <w:szCs w:val="24"/>
                <w:highlight w:val="none"/>
              </w:rPr>
              <w:t>米</w:t>
            </w:r>
            <w:r>
              <w:rPr>
                <w:rFonts w:ascii="Times New Roman" w:hAnsi="Times New Roman"/>
                <w:color w:val="auto"/>
                <w:kern w:val="0"/>
                <w:sz w:val="24"/>
                <w:szCs w:val="24"/>
                <w:highlight w:val="none"/>
              </w:rPr>
              <w:t>12</w:t>
            </w:r>
            <w:r>
              <w:rPr>
                <w:rFonts w:hint="eastAsia" w:ascii="Times New Roman" w:hAnsi="Times New Roman"/>
                <w:color w:val="auto"/>
                <w:kern w:val="0"/>
                <w:sz w:val="24"/>
                <w:szCs w:val="24"/>
                <w:highlight w:val="none"/>
              </w:rPr>
              <w:t>芯</w:t>
            </w:r>
            <w:r>
              <w:rPr>
                <w:rFonts w:ascii="Times New Roman" w:hAnsi="Times New Roman"/>
                <w:color w:val="auto"/>
                <w:kern w:val="0"/>
                <w:sz w:val="24"/>
                <w:szCs w:val="24"/>
                <w:highlight w:val="none"/>
              </w:rPr>
              <w:t>1310nm</w:t>
            </w:r>
            <w:r>
              <w:rPr>
                <w:rFonts w:hint="eastAsia" w:ascii="Times New Roman" w:hAnsi="Times New Roman"/>
                <w:color w:val="auto"/>
                <w:kern w:val="0"/>
                <w:sz w:val="24"/>
                <w:szCs w:val="24"/>
                <w:highlight w:val="none"/>
              </w:rPr>
              <w:t>单模</w:t>
            </w:r>
            <w:r>
              <w:rPr>
                <w:rFonts w:ascii="Times New Roman" w:hAnsi="Times New Roman"/>
                <w:color w:val="auto"/>
                <w:kern w:val="0"/>
                <w:sz w:val="24"/>
                <w:szCs w:val="24"/>
                <w:highlight w:val="none"/>
              </w:rPr>
              <w:t>OS2</w:t>
            </w:r>
            <w:r>
              <w:rPr>
                <w:rFonts w:hint="eastAsia" w:ascii="Times New Roman" w:hAnsi="Times New Roman"/>
                <w:color w:val="auto"/>
                <w:kern w:val="0"/>
                <w:sz w:val="24"/>
                <w:szCs w:val="24"/>
                <w:highlight w:val="none"/>
              </w:rPr>
              <w:t>户外抗拉铠装光缆；</w:t>
            </w:r>
            <w:r>
              <w:rPr>
                <w:rFonts w:ascii="Times New Roman" w:hAnsi="Times New Roman"/>
                <w:color w:val="auto"/>
                <w:kern w:val="0"/>
                <w:sz w:val="24"/>
                <w:szCs w:val="24"/>
                <w:highlight w:val="none"/>
              </w:rPr>
              <w:t>3</w:t>
            </w:r>
            <w:r>
              <w:rPr>
                <w:rFonts w:hint="eastAsia" w:ascii="Times New Roman" w:hAnsi="Times New Roman"/>
                <w:color w:val="auto"/>
                <w:kern w:val="0"/>
                <w:sz w:val="24"/>
                <w:szCs w:val="24"/>
                <w:highlight w:val="none"/>
              </w:rPr>
              <w:t>）防水光纤插头光缆</w:t>
            </w:r>
            <w:r>
              <w:rPr>
                <w:rFonts w:ascii="Times New Roman" w:hAnsi="Times New Roman"/>
                <w:color w:val="auto"/>
                <w:kern w:val="0"/>
                <w:sz w:val="24"/>
                <w:szCs w:val="24"/>
                <w:highlight w:val="none"/>
              </w:rPr>
              <w:t>*</w:t>
            </w:r>
            <w:r>
              <w:rPr>
                <w:rFonts w:hint="eastAsia" w:ascii="Times New Roman" w:hAnsi="Times New Roman"/>
                <w:color w:val="auto"/>
                <w:kern w:val="0"/>
                <w:sz w:val="24"/>
                <w:szCs w:val="24"/>
                <w:highlight w:val="none"/>
              </w:rPr>
              <w:t>雷达整机对外通信线；</w:t>
            </w:r>
            <w:r>
              <w:rPr>
                <w:rFonts w:ascii="Times New Roman" w:hAnsi="Times New Roman"/>
                <w:color w:val="auto"/>
                <w:kern w:val="0"/>
                <w:sz w:val="24"/>
                <w:szCs w:val="24"/>
                <w:highlight w:val="none"/>
              </w:rPr>
              <w:t>4</w:t>
            </w:r>
            <w:r>
              <w:rPr>
                <w:rFonts w:hint="eastAsia" w:ascii="Times New Roman" w:hAnsi="Times New Roman"/>
                <w:color w:val="auto"/>
                <w:kern w:val="0"/>
                <w:sz w:val="24"/>
                <w:szCs w:val="24"/>
                <w:highlight w:val="none"/>
              </w:rPr>
              <w:t>）</w:t>
            </w:r>
            <w:r>
              <w:rPr>
                <w:rFonts w:ascii="Times New Roman" w:hAnsi="Times New Roman"/>
                <w:color w:val="auto"/>
                <w:kern w:val="0"/>
                <w:sz w:val="24"/>
                <w:szCs w:val="24"/>
                <w:highlight w:val="none"/>
              </w:rPr>
              <w:t>DSC to DLC 2</w:t>
            </w:r>
            <w:r>
              <w:rPr>
                <w:rFonts w:hint="eastAsia" w:ascii="Times New Roman" w:hAnsi="Times New Roman"/>
                <w:color w:val="auto"/>
                <w:kern w:val="0"/>
                <w:sz w:val="24"/>
                <w:szCs w:val="24"/>
                <w:highlight w:val="none"/>
              </w:rPr>
              <w:t>米</w:t>
            </w:r>
            <w:r>
              <w:rPr>
                <w:rFonts w:ascii="Times New Roman" w:hAnsi="Times New Roman"/>
                <w:color w:val="auto"/>
                <w:kern w:val="0"/>
                <w:sz w:val="24"/>
                <w:szCs w:val="24"/>
                <w:highlight w:val="none"/>
              </w:rPr>
              <w:t>1310nm</w:t>
            </w:r>
            <w:r>
              <w:rPr>
                <w:rFonts w:hint="eastAsia" w:ascii="Times New Roman" w:hAnsi="Times New Roman"/>
                <w:color w:val="auto"/>
                <w:kern w:val="0"/>
                <w:sz w:val="24"/>
                <w:szCs w:val="24"/>
                <w:highlight w:val="none"/>
              </w:rPr>
              <w:t>单模双工铠甲光纤跳线。</w:t>
            </w:r>
            <w:r>
              <w:rPr>
                <w:rFonts w:ascii="Times New Roman" w:hAnsi="Times New Roman"/>
                <w:color w:val="auto"/>
                <w:kern w:val="0"/>
                <w:sz w:val="24"/>
                <w:szCs w:val="24"/>
                <w:highlight w:val="none"/>
              </w:rPr>
              <w:t>5</w:t>
            </w:r>
            <w:r>
              <w:rPr>
                <w:rFonts w:hint="eastAsia" w:ascii="Times New Roman" w:hAnsi="Times New Roman"/>
                <w:color w:val="auto"/>
                <w:kern w:val="0"/>
                <w:sz w:val="24"/>
                <w:szCs w:val="24"/>
                <w:highlight w:val="none"/>
              </w:rPr>
              <w:t>）</w:t>
            </w:r>
            <w:r>
              <w:rPr>
                <w:rFonts w:ascii="Times New Roman" w:hAnsi="Times New Roman"/>
                <w:color w:val="auto"/>
                <w:kern w:val="0"/>
                <w:sz w:val="24"/>
                <w:szCs w:val="24"/>
                <w:highlight w:val="none"/>
              </w:rPr>
              <w:t>1310nm</w:t>
            </w:r>
            <w:r>
              <w:rPr>
                <w:rFonts w:hint="eastAsia" w:ascii="Times New Roman" w:hAnsi="Times New Roman"/>
                <w:color w:val="auto"/>
                <w:kern w:val="0"/>
                <w:sz w:val="24"/>
                <w:szCs w:val="24"/>
                <w:highlight w:val="none"/>
              </w:rPr>
              <w:t>双工单模</w:t>
            </w:r>
            <w:r>
              <w:rPr>
                <w:rFonts w:ascii="Times New Roman" w:hAnsi="Times New Roman"/>
                <w:color w:val="auto"/>
                <w:kern w:val="0"/>
                <w:sz w:val="24"/>
                <w:szCs w:val="24"/>
                <w:highlight w:val="none"/>
              </w:rPr>
              <w:t>SFP</w:t>
            </w:r>
            <w:r>
              <w:rPr>
                <w:rFonts w:hint="eastAsia" w:ascii="Times New Roman" w:hAnsi="Times New Roman"/>
                <w:color w:val="auto"/>
                <w:kern w:val="0"/>
                <w:sz w:val="24"/>
                <w:szCs w:val="24"/>
                <w:highlight w:val="none"/>
              </w:rPr>
              <w:t>光模块</w:t>
            </w:r>
            <w:r>
              <w:rPr>
                <w:rFonts w:ascii="Times New Roman" w:hAnsi="Times New Roman"/>
                <w:color w:val="auto"/>
                <w:kern w:val="0"/>
                <w:sz w:val="24"/>
                <w:szCs w:val="24"/>
                <w:highlight w:val="none"/>
              </w:rPr>
              <w:t>*2</w:t>
            </w:r>
            <w:r>
              <w:rPr>
                <w:rFonts w:hint="eastAsia" w:ascii="Times New Roman" w:hAnsi="Times New Roman"/>
                <w:color w:val="auto"/>
                <w:kern w:val="0"/>
                <w:sz w:val="24"/>
                <w:szCs w:val="24"/>
                <w:highlight w:val="none"/>
              </w:rPr>
              <w:t>。</w:t>
            </w:r>
          </w:p>
        </w:tc>
      </w:tr>
      <w:tr w14:paraId="4883F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462" w:type="pct"/>
            <w:shd w:val="clear" w:color="auto" w:fill="auto"/>
            <w:vAlign w:val="center"/>
          </w:tcPr>
          <w:p w14:paraId="3EF17809">
            <w:pPr>
              <w:widowControl/>
              <w:spacing w:line="360" w:lineRule="auto"/>
              <w:jc w:val="center"/>
              <w:rPr>
                <w:rFonts w:ascii="Times New Roman" w:hAnsi="Times New Roman"/>
                <w:color w:val="auto"/>
                <w:kern w:val="0"/>
                <w:sz w:val="24"/>
                <w:szCs w:val="24"/>
                <w:highlight w:val="none"/>
              </w:rPr>
            </w:pPr>
            <w:r>
              <w:rPr>
                <w:rFonts w:ascii="Times New Roman" w:hAnsi="Times New Roman"/>
                <w:color w:val="auto"/>
                <w:kern w:val="0"/>
                <w:sz w:val="24"/>
                <w:szCs w:val="24"/>
                <w:highlight w:val="none"/>
              </w:rPr>
              <w:t>11</w:t>
            </w:r>
          </w:p>
        </w:tc>
        <w:tc>
          <w:tcPr>
            <w:tcW w:w="1019" w:type="pct"/>
            <w:shd w:val="clear" w:color="auto" w:fill="auto"/>
            <w:vAlign w:val="center"/>
          </w:tcPr>
          <w:p w14:paraId="3B56D68B">
            <w:pPr>
              <w:widowControl/>
              <w:spacing w:line="360" w:lineRule="auto"/>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雷达站视频监控设施</w:t>
            </w:r>
          </w:p>
        </w:tc>
        <w:tc>
          <w:tcPr>
            <w:tcW w:w="3519" w:type="pct"/>
            <w:shd w:val="clear" w:color="auto" w:fill="auto"/>
            <w:vAlign w:val="center"/>
          </w:tcPr>
          <w:p w14:paraId="610D0FBD">
            <w:pPr>
              <w:spacing w:line="360" w:lineRule="auto"/>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1）雷达塔上布设具备水平范围360°，可监控半径1公里范围内的周边环境的1个超长焦距高清球型网络摄像机；</w:t>
            </w:r>
          </w:p>
          <w:p w14:paraId="663D24E2">
            <w:pPr>
              <w:spacing w:line="360" w:lineRule="auto"/>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2）站点围栏4周布设4个400万警戒筒形网络摄像机；</w:t>
            </w:r>
          </w:p>
          <w:p w14:paraId="3321B0EA">
            <w:pPr>
              <w:spacing w:line="360" w:lineRule="auto"/>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3）方舱内部布设1个400万鱼眼网络摄像机；</w:t>
            </w:r>
          </w:p>
          <w:p w14:paraId="3135AFE8">
            <w:pPr>
              <w:spacing w:line="360" w:lineRule="auto"/>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4）1个1.5U机架式4盘位嵌入式网络硬盘录像机；</w:t>
            </w:r>
          </w:p>
          <w:p w14:paraId="2E5ADA98">
            <w:pPr>
              <w:spacing w:line="360" w:lineRule="auto"/>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5）1个16口千兆交换机；</w:t>
            </w:r>
          </w:p>
          <w:p w14:paraId="0DDB7322">
            <w:pPr>
              <w:spacing w:line="360" w:lineRule="auto"/>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6）1个27寸安防显示器；</w:t>
            </w:r>
          </w:p>
          <w:p w14:paraId="52621AD0">
            <w:pPr>
              <w:spacing w:line="360" w:lineRule="auto"/>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7）监控视频实时传送到市气象局监控室终端。</w:t>
            </w:r>
          </w:p>
        </w:tc>
      </w:tr>
    </w:tbl>
    <w:p w14:paraId="7076B314">
      <w:pPr>
        <w:keepNext/>
        <w:keepLines/>
        <w:spacing w:line="360" w:lineRule="auto"/>
        <w:jc w:val="left"/>
        <w:outlineLvl w:val="2"/>
        <w:rPr>
          <w:rFonts w:ascii="Times New Roman" w:hAnsi="Times New Roman"/>
          <w:b/>
          <w:bCs/>
          <w:color w:val="auto"/>
          <w:sz w:val="24"/>
          <w:szCs w:val="24"/>
          <w:highlight w:val="none"/>
        </w:rPr>
      </w:pPr>
      <w:bookmarkStart w:id="458" w:name="_Toc108777132"/>
      <w:bookmarkStart w:id="459" w:name="_Toc108777069"/>
      <w:bookmarkStart w:id="460" w:name="_Toc108777257"/>
      <w:r>
        <w:rPr>
          <w:rFonts w:ascii="Times New Roman" w:hAnsi="Times New Roman"/>
          <w:b/>
          <w:bCs/>
          <w:color w:val="auto"/>
          <w:sz w:val="24"/>
          <w:szCs w:val="24"/>
          <w:highlight w:val="none"/>
        </w:rPr>
        <w:t xml:space="preserve">3.3 </w:t>
      </w:r>
      <w:r>
        <w:rPr>
          <w:rFonts w:hint="eastAsia" w:ascii="Times New Roman" w:hAnsi="Times New Roman"/>
          <w:b/>
          <w:bCs/>
          <w:color w:val="auto"/>
          <w:sz w:val="24"/>
          <w:szCs w:val="24"/>
          <w:highlight w:val="none"/>
        </w:rPr>
        <w:t>数据要求</w:t>
      </w:r>
    </w:p>
    <w:p w14:paraId="1D211F96">
      <w:pPr>
        <w:autoSpaceDE w:val="0"/>
        <w:autoSpaceDN w:val="0"/>
        <w:adjustRightInd w:val="0"/>
        <w:spacing w:line="360" w:lineRule="auto"/>
        <w:ind w:firstLine="482" w:firstLineChars="200"/>
        <w:jc w:val="left"/>
        <w:rPr>
          <w:rFonts w:ascii="Times New Roman" w:hAnsi="Times New Roman"/>
          <w:b/>
          <w:bCs/>
          <w:color w:val="auto"/>
          <w:kern w:val="0"/>
          <w:sz w:val="24"/>
          <w:szCs w:val="24"/>
          <w:highlight w:val="none"/>
        </w:rPr>
      </w:pPr>
      <w:r>
        <w:rPr>
          <w:rFonts w:hint="eastAsia" w:ascii="Times New Roman" w:hAnsi="Times New Roman"/>
          <w:b/>
          <w:bCs/>
          <w:color w:val="auto"/>
          <w:kern w:val="0"/>
          <w:sz w:val="24"/>
          <w:szCs w:val="24"/>
          <w:highlight w:val="none"/>
        </w:rPr>
        <w:t>供应商提供的设备观测数据符合中国气象局标准，能够接入河南省气象大数据云平台（天擎）。供应商提供承诺函或用户证明。</w:t>
      </w:r>
    </w:p>
    <w:p w14:paraId="3430309E">
      <w:pPr>
        <w:keepNext/>
        <w:keepLines/>
        <w:spacing w:line="360" w:lineRule="auto"/>
        <w:jc w:val="left"/>
        <w:outlineLvl w:val="2"/>
        <w:rPr>
          <w:rFonts w:ascii="Times New Roman" w:hAnsi="Times New Roman"/>
          <w:b/>
          <w:bCs/>
          <w:color w:val="auto"/>
          <w:sz w:val="24"/>
          <w:szCs w:val="24"/>
          <w:highlight w:val="none"/>
        </w:rPr>
      </w:pPr>
      <w:r>
        <w:rPr>
          <w:rFonts w:ascii="Times New Roman" w:hAnsi="Times New Roman"/>
          <w:b/>
          <w:bCs/>
          <w:color w:val="auto"/>
          <w:sz w:val="24"/>
          <w:szCs w:val="24"/>
          <w:highlight w:val="none"/>
        </w:rPr>
        <w:t xml:space="preserve">3.4 </w:t>
      </w:r>
      <w:r>
        <w:rPr>
          <w:rFonts w:hint="eastAsia" w:ascii="Times New Roman" w:hAnsi="Times New Roman"/>
          <w:b/>
          <w:bCs/>
          <w:color w:val="auto"/>
          <w:sz w:val="24"/>
          <w:szCs w:val="24"/>
          <w:highlight w:val="none"/>
        </w:rPr>
        <w:t>其他要求</w:t>
      </w:r>
      <w:r>
        <w:rPr>
          <w:rFonts w:ascii="Times New Roman" w:hAnsi="Times New Roman"/>
          <w:b/>
          <w:bCs/>
          <w:color w:val="auto"/>
          <w:sz w:val="24"/>
          <w:szCs w:val="24"/>
          <w:highlight w:val="none"/>
        </w:rPr>
        <w:t xml:space="preserve"> </w:t>
      </w:r>
    </w:p>
    <w:p w14:paraId="47D87EA6">
      <w:pPr>
        <w:autoSpaceDE w:val="0"/>
        <w:autoSpaceDN w:val="0"/>
        <w:adjustRightInd w:val="0"/>
        <w:spacing w:line="360" w:lineRule="auto"/>
        <w:ind w:firstLine="480" w:firstLineChars="200"/>
        <w:jc w:val="left"/>
        <w:rPr>
          <w:rFonts w:ascii="Times New Roman" w:hAnsi="Times New Roman"/>
          <w:bCs/>
          <w:color w:val="auto"/>
          <w:kern w:val="0"/>
          <w:sz w:val="24"/>
          <w:szCs w:val="24"/>
          <w:highlight w:val="none"/>
        </w:rPr>
      </w:pPr>
      <w:r>
        <w:rPr>
          <w:rFonts w:ascii="Times New Roman" w:hAnsi="Times New Roman"/>
          <w:bCs/>
          <w:color w:val="auto"/>
          <w:kern w:val="0"/>
          <w:sz w:val="24"/>
          <w:szCs w:val="24"/>
          <w:highlight w:val="none"/>
        </w:rPr>
        <w:t>1</w:t>
      </w:r>
      <w:r>
        <w:rPr>
          <w:rFonts w:hint="eastAsia" w:ascii="Times New Roman" w:hAnsi="Times New Roman"/>
          <w:bCs/>
          <w:color w:val="auto"/>
          <w:kern w:val="0"/>
          <w:sz w:val="24"/>
          <w:szCs w:val="24"/>
          <w:highlight w:val="none"/>
        </w:rPr>
        <w:t>、投标人须提供符合国家质量标准、部颁标准、行业标准或本招标文件规定标准的、供货渠道合法的全新原装合格正品（包括零部件），如安装或配置软件的，须为正版软件。所提供的货物应当同时符合国家有关安全、卫生、环保规定。本项目中所报产品涉及工业产品生产许可证的，该产品应具有由质监部门颁发给制造商的关于该产品的《全国工业产品生产许可证》；本项目中所报产品涉及纳入国家认证认可监督管理委员会现行《强制性产品认证目录描述与界定表》管理的强制性认证产品（简称</w:t>
      </w:r>
      <w:r>
        <w:rPr>
          <w:rFonts w:ascii="Times New Roman" w:hAnsi="Times New Roman"/>
          <w:bCs/>
          <w:color w:val="auto"/>
          <w:kern w:val="0"/>
          <w:sz w:val="24"/>
          <w:szCs w:val="24"/>
          <w:highlight w:val="none"/>
        </w:rPr>
        <w:t xml:space="preserve"> 3C </w:t>
      </w:r>
      <w:r>
        <w:rPr>
          <w:rFonts w:hint="eastAsia" w:ascii="Times New Roman" w:hAnsi="Times New Roman"/>
          <w:bCs/>
          <w:color w:val="auto"/>
          <w:kern w:val="0"/>
          <w:sz w:val="24"/>
          <w:szCs w:val="24"/>
          <w:highlight w:val="none"/>
        </w:rPr>
        <w:t>认证产品）的，该产品应具有由认证机构颁发给制造商的该产品强制性认证证书；本项目中所报产品属于《信息安全产品强制性认证目录》内的信息安全产品的，该产品应具有由中国信息安全认证中心按国家标准认证颁发的有效认证证书；本项目中所报产品涉及网络通讯产品的，该产品应具有工信部门颁发的入网许可证。</w:t>
      </w:r>
    </w:p>
    <w:p w14:paraId="3462F421">
      <w:pPr>
        <w:autoSpaceDE w:val="0"/>
        <w:autoSpaceDN w:val="0"/>
        <w:adjustRightInd w:val="0"/>
        <w:spacing w:line="360" w:lineRule="auto"/>
        <w:ind w:firstLine="480" w:firstLineChars="200"/>
        <w:jc w:val="left"/>
        <w:rPr>
          <w:rFonts w:ascii="Times New Roman" w:hAnsi="Times New Roman"/>
          <w:bCs/>
          <w:color w:val="auto"/>
          <w:kern w:val="0"/>
          <w:sz w:val="24"/>
          <w:szCs w:val="24"/>
          <w:highlight w:val="none"/>
        </w:rPr>
      </w:pPr>
      <w:r>
        <w:rPr>
          <w:rFonts w:ascii="Times New Roman" w:hAnsi="Times New Roman"/>
          <w:bCs/>
          <w:color w:val="auto"/>
          <w:kern w:val="0"/>
          <w:sz w:val="24"/>
          <w:szCs w:val="24"/>
          <w:highlight w:val="none"/>
        </w:rPr>
        <w:t>2</w:t>
      </w:r>
      <w:r>
        <w:rPr>
          <w:rFonts w:hint="eastAsia" w:ascii="Times New Roman" w:hAnsi="Times New Roman"/>
          <w:bCs/>
          <w:color w:val="auto"/>
          <w:kern w:val="0"/>
          <w:sz w:val="24"/>
          <w:szCs w:val="24"/>
          <w:highlight w:val="none"/>
        </w:rPr>
        <w:t>、采购人使用中标人的货物、技术、资料、服务或其他任何一部分时，享有无偿使用权。免受第三方提出的侵犯其专利权、著作权、商标权或其它知识产权的起诉。如果第三方提出侵权指控，中标人应承担由此而引起的一切法律责任和费用。</w:t>
      </w:r>
    </w:p>
    <w:p w14:paraId="5AAB2D39">
      <w:pPr>
        <w:autoSpaceDE w:val="0"/>
        <w:autoSpaceDN w:val="0"/>
        <w:adjustRightInd w:val="0"/>
        <w:spacing w:line="360" w:lineRule="auto"/>
        <w:ind w:firstLine="480" w:firstLineChars="200"/>
        <w:jc w:val="left"/>
        <w:rPr>
          <w:rFonts w:ascii="Times New Roman" w:hAnsi="Times New Roman"/>
          <w:bCs/>
          <w:color w:val="auto"/>
          <w:kern w:val="0"/>
          <w:sz w:val="24"/>
          <w:szCs w:val="24"/>
          <w:highlight w:val="none"/>
        </w:rPr>
      </w:pPr>
      <w:r>
        <w:rPr>
          <w:rFonts w:ascii="Times New Roman" w:hAnsi="Times New Roman"/>
          <w:bCs/>
          <w:color w:val="auto"/>
          <w:kern w:val="0"/>
          <w:sz w:val="24"/>
          <w:szCs w:val="24"/>
          <w:highlight w:val="none"/>
        </w:rPr>
        <w:t>3</w:t>
      </w:r>
      <w:r>
        <w:rPr>
          <w:rFonts w:hint="eastAsia" w:ascii="Times New Roman" w:hAnsi="Times New Roman"/>
          <w:bCs/>
          <w:color w:val="auto"/>
          <w:kern w:val="0"/>
          <w:sz w:val="24"/>
          <w:szCs w:val="24"/>
          <w:highlight w:val="none"/>
        </w:rPr>
        <w:t>、</w:t>
      </w:r>
      <w:r>
        <w:rPr>
          <w:rFonts w:ascii="Times New Roman" w:hAnsi="Times New Roman"/>
          <w:bCs/>
          <w:color w:val="auto"/>
          <w:kern w:val="0"/>
          <w:sz w:val="24"/>
          <w:szCs w:val="24"/>
          <w:highlight w:val="none"/>
        </w:rPr>
        <w:t xml:space="preserve"> </w:t>
      </w:r>
      <w:r>
        <w:rPr>
          <w:rFonts w:hint="eastAsia" w:ascii="Times New Roman" w:hAnsi="Times New Roman"/>
          <w:bCs/>
          <w:color w:val="auto"/>
          <w:kern w:val="0"/>
          <w:sz w:val="24"/>
          <w:szCs w:val="24"/>
          <w:highlight w:val="none"/>
        </w:rPr>
        <w:t>本章所述技术规格及要求是采购人提供的最低限度的技术要求，并未对一切技术细节做出规定，也未充分引述有关标准和规范的条文，投标人应保证提供符合本技术规格及要求和有关工业标准的优质产品。</w:t>
      </w:r>
    </w:p>
    <w:p w14:paraId="02B119CF">
      <w:pPr>
        <w:autoSpaceDE w:val="0"/>
        <w:autoSpaceDN w:val="0"/>
        <w:adjustRightInd w:val="0"/>
        <w:spacing w:line="360" w:lineRule="auto"/>
        <w:ind w:firstLine="480" w:firstLineChars="200"/>
        <w:jc w:val="left"/>
        <w:rPr>
          <w:rFonts w:ascii="Times New Roman" w:hAnsi="Times New Roman"/>
          <w:bCs/>
          <w:color w:val="auto"/>
          <w:kern w:val="0"/>
          <w:sz w:val="24"/>
          <w:szCs w:val="24"/>
          <w:highlight w:val="none"/>
        </w:rPr>
      </w:pPr>
      <w:r>
        <w:rPr>
          <w:rFonts w:ascii="Times New Roman" w:hAnsi="Times New Roman"/>
          <w:bCs/>
          <w:color w:val="auto"/>
          <w:kern w:val="0"/>
          <w:sz w:val="24"/>
          <w:szCs w:val="24"/>
          <w:highlight w:val="none"/>
        </w:rPr>
        <w:t>4</w:t>
      </w:r>
      <w:r>
        <w:rPr>
          <w:rFonts w:hint="eastAsia" w:ascii="Times New Roman" w:hAnsi="Times New Roman"/>
          <w:bCs/>
          <w:color w:val="auto"/>
          <w:kern w:val="0"/>
          <w:sz w:val="24"/>
          <w:szCs w:val="24"/>
          <w:highlight w:val="none"/>
        </w:rPr>
        <w:t>、本技术规格及要求所使用的标准和规范如与投标人所执行的标准发生矛盾时，按较高标准执行。</w:t>
      </w:r>
    </w:p>
    <w:p w14:paraId="02065145">
      <w:pPr>
        <w:autoSpaceDE w:val="0"/>
        <w:autoSpaceDN w:val="0"/>
        <w:adjustRightInd w:val="0"/>
        <w:spacing w:line="360" w:lineRule="auto"/>
        <w:ind w:firstLine="480" w:firstLineChars="200"/>
        <w:jc w:val="left"/>
        <w:rPr>
          <w:rFonts w:ascii="Times New Roman" w:hAnsi="Times New Roman"/>
          <w:bCs/>
          <w:color w:val="auto"/>
          <w:kern w:val="0"/>
          <w:sz w:val="24"/>
          <w:szCs w:val="24"/>
          <w:highlight w:val="none"/>
        </w:rPr>
      </w:pPr>
      <w:r>
        <w:rPr>
          <w:rFonts w:ascii="Times New Roman" w:hAnsi="Times New Roman"/>
          <w:bCs/>
          <w:color w:val="auto"/>
          <w:kern w:val="0"/>
          <w:sz w:val="24"/>
          <w:szCs w:val="24"/>
          <w:highlight w:val="none"/>
        </w:rPr>
        <w:t>5</w:t>
      </w:r>
      <w:r>
        <w:rPr>
          <w:rFonts w:hint="eastAsia" w:ascii="Times New Roman" w:hAnsi="Times New Roman"/>
          <w:bCs/>
          <w:color w:val="auto"/>
          <w:kern w:val="0"/>
          <w:sz w:val="24"/>
          <w:szCs w:val="24"/>
          <w:highlight w:val="none"/>
        </w:rPr>
        <w:t>、投标人所提供的货物，如若发生侵犯知识产权的行为时，其侵权责任与采购人无关，应由投标人承担相应的责任，并不得损害采购人的利益。</w:t>
      </w:r>
    </w:p>
    <w:p w14:paraId="5A4B4776">
      <w:pPr>
        <w:autoSpaceDE w:val="0"/>
        <w:autoSpaceDN w:val="0"/>
        <w:adjustRightInd w:val="0"/>
        <w:spacing w:line="360" w:lineRule="auto"/>
        <w:ind w:firstLine="480" w:firstLineChars="200"/>
        <w:jc w:val="left"/>
        <w:rPr>
          <w:rFonts w:ascii="Times New Roman" w:hAnsi="Times New Roman"/>
          <w:bCs/>
          <w:color w:val="auto"/>
          <w:kern w:val="0"/>
          <w:sz w:val="24"/>
          <w:szCs w:val="24"/>
          <w:highlight w:val="none"/>
        </w:rPr>
      </w:pPr>
      <w:r>
        <w:rPr>
          <w:rFonts w:ascii="Times New Roman" w:hAnsi="Times New Roman"/>
          <w:bCs/>
          <w:color w:val="auto"/>
          <w:kern w:val="0"/>
          <w:sz w:val="24"/>
          <w:szCs w:val="24"/>
          <w:highlight w:val="none"/>
        </w:rPr>
        <w:t>6</w:t>
      </w:r>
      <w:r>
        <w:rPr>
          <w:rFonts w:hint="eastAsia" w:ascii="Times New Roman" w:hAnsi="Times New Roman"/>
          <w:bCs/>
          <w:color w:val="auto"/>
          <w:kern w:val="0"/>
          <w:sz w:val="24"/>
          <w:szCs w:val="24"/>
          <w:highlight w:val="none"/>
        </w:rPr>
        <w:t>、质保期及售后服务</w:t>
      </w:r>
    </w:p>
    <w:p w14:paraId="53B7930C">
      <w:pPr>
        <w:autoSpaceDE w:val="0"/>
        <w:autoSpaceDN w:val="0"/>
        <w:adjustRightInd w:val="0"/>
        <w:spacing w:line="360" w:lineRule="auto"/>
        <w:ind w:firstLine="480" w:firstLineChars="200"/>
        <w:jc w:val="left"/>
        <w:rPr>
          <w:rFonts w:ascii="Times New Roman" w:hAnsi="Times New Roman"/>
          <w:bCs/>
          <w:color w:val="auto"/>
          <w:kern w:val="0"/>
          <w:sz w:val="24"/>
          <w:szCs w:val="24"/>
          <w:highlight w:val="none"/>
        </w:rPr>
      </w:pPr>
      <w:r>
        <w:rPr>
          <w:rFonts w:hint="eastAsia" w:ascii="Times New Roman" w:hAnsi="Times New Roman"/>
          <w:bCs/>
          <w:color w:val="auto"/>
          <w:kern w:val="0"/>
          <w:sz w:val="24"/>
          <w:szCs w:val="24"/>
          <w:highlight w:val="none"/>
        </w:rPr>
        <w:t>自本项目系统验收合格之日起，雷达设备提供</w:t>
      </w:r>
      <w:r>
        <w:rPr>
          <w:rFonts w:ascii="Times New Roman" w:hAnsi="Times New Roman"/>
          <w:bCs/>
          <w:color w:val="auto"/>
          <w:kern w:val="0"/>
          <w:sz w:val="24"/>
          <w:szCs w:val="24"/>
          <w:highlight w:val="none"/>
        </w:rPr>
        <w:t>8</w:t>
      </w:r>
      <w:r>
        <w:rPr>
          <w:rFonts w:hint="eastAsia" w:ascii="Times New Roman" w:hAnsi="Times New Roman"/>
          <w:bCs/>
          <w:color w:val="auto"/>
          <w:kern w:val="0"/>
          <w:sz w:val="24"/>
          <w:szCs w:val="24"/>
          <w:highlight w:val="none"/>
        </w:rPr>
        <w:t>年原厂质保，其他设备提供</w:t>
      </w:r>
      <w:r>
        <w:rPr>
          <w:rFonts w:ascii="Times New Roman" w:hAnsi="Times New Roman"/>
          <w:bCs/>
          <w:color w:val="auto"/>
          <w:kern w:val="0"/>
          <w:sz w:val="24"/>
          <w:szCs w:val="24"/>
          <w:highlight w:val="none"/>
        </w:rPr>
        <w:t>3</w:t>
      </w:r>
      <w:r>
        <w:rPr>
          <w:rFonts w:hint="eastAsia" w:ascii="Times New Roman" w:hAnsi="Times New Roman"/>
          <w:bCs/>
          <w:color w:val="auto"/>
          <w:kern w:val="0"/>
          <w:sz w:val="24"/>
          <w:szCs w:val="24"/>
          <w:highlight w:val="none"/>
        </w:rPr>
        <w:t>年质保，相关产品有国家规定的质保期从其规定，其规定不足</w:t>
      </w:r>
      <w:r>
        <w:rPr>
          <w:rFonts w:ascii="Times New Roman" w:hAnsi="Times New Roman"/>
          <w:bCs/>
          <w:color w:val="auto"/>
          <w:kern w:val="0"/>
          <w:sz w:val="24"/>
          <w:szCs w:val="24"/>
          <w:highlight w:val="none"/>
        </w:rPr>
        <w:t>3</w:t>
      </w:r>
      <w:r>
        <w:rPr>
          <w:rFonts w:hint="eastAsia" w:ascii="Times New Roman" w:hAnsi="Times New Roman"/>
          <w:bCs/>
          <w:color w:val="auto"/>
          <w:kern w:val="0"/>
          <w:sz w:val="24"/>
          <w:szCs w:val="24"/>
          <w:highlight w:val="none"/>
        </w:rPr>
        <w:t>年的按</w:t>
      </w:r>
      <w:r>
        <w:rPr>
          <w:rFonts w:ascii="Times New Roman" w:hAnsi="Times New Roman"/>
          <w:bCs/>
          <w:color w:val="auto"/>
          <w:kern w:val="0"/>
          <w:sz w:val="24"/>
          <w:szCs w:val="24"/>
          <w:highlight w:val="none"/>
        </w:rPr>
        <w:t>3</w:t>
      </w:r>
      <w:r>
        <w:rPr>
          <w:rFonts w:hint="eastAsia" w:ascii="Times New Roman" w:hAnsi="Times New Roman"/>
          <w:bCs/>
          <w:color w:val="auto"/>
          <w:kern w:val="0"/>
          <w:sz w:val="24"/>
          <w:szCs w:val="24"/>
          <w:highlight w:val="none"/>
        </w:rPr>
        <w:t>年计算。</w:t>
      </w:r>
    </w:p>
    <w:p w14:paraId="5D0B9FC4">
      <w:pPr>
        <w:autoSpaceDE w:val="0"/>
        <w:autoSpaceDN w:val="0"/>
        <w:adjustRightInd w:val="0"/>
        <w:spacing w:line="360" w:lineRule="auto"/>
        <w:ind w:firstLine="480" w:firstLineChars="200"/>
        <w:jc w:val="left"/>
        <w:rPr>
          <w:rFonts w:ascii="Times New Roman" w:hAnsi="Times New Roman"/>
          <w:bCs/>
          <w:color w:val="auto"/>
          <w:kern w:val="0"/>
          <w:sz w:val="24"/>
          <w:szCs w:val="24"/>
          <w:highlight w:val="none"/>
        </w:rPr>
      </w:pPr>
      <w:r>
        <w:rPr>
          <w:rFonts w:ascii="Times New Roman" w:hAnsi="Times New Roman"/>
          <w:bCs/>
          <w:color w:val="auto"/>
          <w:kern w:val="0"/>
          <w:sz w:val="24"/>
          <w:szCs w:val="24"/>
          <w:highlight w:val="none"/>
        </w:rPr>
        <w:t>6.1</w:t>
      </w:r>
      <w:r>
        <w:rPr>
          <w:rFonts w:hint="eastAsia" w:ascii="Times New Roman" w:hAnsi="Times New Roman"/>
          <w:bCs/>
          <w:color w:val="auto"/>
          <w:kern w:val="0"/>
          <w:sz w:val="24"/>
          <w:szCs w:val="24"/>
          <w:highlight w:val="none"/>
        </w:rPr>
        <w:t>、质保期内对不符合投标文件的投标产品详细配置、参数及性能或不能修复的货物负责免费更换。</w:t>
      </w:r>
    </w:p>
    <w:p w14:paraId="0D5F3161">
      <w:pPr>
        <w:autoSpaceDE w:val="0"/>
        <w:autoSpaceDN w:val="0"/>
        <w:adjustRightInd w:val="0"/>
        <w:spacing w:line="360" w:lineRule="auto"/>
        <w:ind w:firstLine="480" w:firstLineChars="200"/>
        <w:jc w:val="left"/>
        <w:rPr>
          <w:rFonts w:ascii="Times New Roman" w:hAnsi="Times New Roman"/>
          <w:bCs/>
          <w:color w:val="auto"/>
          <w:kern w:val="0"/>
          <w:sz w:val="24"/>
          <w:szCs w:val="24"/>
          <w:highlight w:val="none"/>
        </w:rPr>
      </w:pPr>
      <w:r>
        <w:rPr>
          <w:rFonts w:ascii="Times New Roman" w:hAnsi="Times New Roman"/>
          <w:bCs/>
          <w:color w:val="auto"/>
          <w:kern w:val="0"/>
          <w:sz w:val="24"/>
          <w:szCs w:val="24"/>
          <w:highlight w:val="none"/>
        </w:rPr>
        <w:t>6.2</w:t>
      </w:r>
      <w:r>
        <w:rPr>
          <w:rFonts w:hint="eastAsia" w:ascii="Times New Roman" w:hAnsi="Times New Roman"/>
          <w:bCs/>
          <w:color w:val="auto"/>
          <w:kern w:val="0"/>
          <w:sz w:val="24"/>
          <w:szCs w:val="24"/>
          <w:highlight w:val="none"/>
        </w:rPr>
        <w:t>、提供所投产品投标人或制造商售后服务机构情况，包括地址、技术人员及联系方式，售后技术人员力量、设备实力等。</w:t>
      </w:r>
    </w:p>
    <w:p w14:paraId="2229F415">
      <w:pPr>
        <w:autoSpaceDE w:val="0"/>
        <w:autoSpaceDN w:val="0"/>
        <w:adjustRightInd w:val="0"/>
        <w:spacing w:line="360" w:lineRule="auto"/>
        <w:ind w:firstLine="480" w:firstLineChars="200"/>
        <w:jc w:val="left"/>
        <w:rPr>
          <w:rFonts w:ascii="Times New Roman" w:hAnsi="Times New Roman"/>
          <w:bCs/>
          <w:color w:val="auto"/>
          <w:kern w:val="0"/>
          <w:sz w:val="24"/>
          <w:szCs w:val="24"/>
          <w:highlight w:val="none"/>
        </w:rPr>
      </w:pPr>
      <w:r>
        <w:rPr>
          <w:rFonts w:ascii="Times New Roman" w:hAnsi="Times New Roman"/>
          <w:bCs/>
          <w:color w:val="auto"/>
          <w:kern w:val="0"/>
          <w:sz w:val="24"/>
          <w:szCs w:val="24"/>
          <w:highlight w:val="none"/>
        </w:rPr>
        <w:t>6.3</w:t>
      </w:r>
      <w:r>
        <w:rPr>
          <w:rFonts w:hint="eastAsia" w:ascii="Times New Roman" w:hAnsi="Times New Roman"/>
          <w:bCs/>
          <w:color w:val="auto"/>
          <w:kern w:val="0"/>
          <w:sz w:val="24"/>
          <w:szCs w:val="24"/>
          <w:highlight w:val="none"/>
        </w:rPr>
        <w:t>、质保期内免费上门保修服务，</w:t>
      </w:r>
      <w:r>
        <w:rPr>
          <w:rFonts w:ascii="Times New Roman" w:hAnsi="Times New Roman"/>
          <w:bCs/>
          <w:color w:val="auto"/>
          <w:kern w:val="0"/>
          <w:sz w:val="24"/>
          <w:szCs w:val="24"/>
          <w:highlight w:val="none"/>
        </w:rPr>
        <w:t xml:space="preserve">7 </w:t>
      </w:r>
      <w:r>
        <w:rPr>
          <w:rFonts w:hint="eastAsia" w:ascii="Times New Roman" w:hAnsi="Times New Roman"/>
          <w:bCs/>
          <w:color w:val="auto"/>
          <w:kern w:val="0"/>
          <w:sz w:val="24"/>
          <w:szCs w:val="24"/>
          <w:highlight w:val="none"/>
        </w:rPr>
        <w:t>天×</w:t>
      </w:r>
      <w:r>
        <w:rPr>
          <w:rFonts w:ascii="Times New Roman" w:hAnsi="Times New Roman"/>
          <w:bCs/>
          <w:color w:val="auto"/>
          <w:kern w:val="0"/>
          <w:sz w:val="24"/>
          <w:szCs w:val="24"/>
          <w:highlight w:val="none"/>
        </w:rPr>
        <w:t xml:space="preserve">24 </w:t>
      </w:r>
      <w:r>
        <w:rPr>
          <w:rFonts w:hint="eastAsia" w:ascii="Times New Roman" w:hAnsi="Times New Roman"/>
          <w:bCs/>
          <w:color w:val="auto"/>
          <w:kern w:val="0"/>
          <w:sz w:val="24"/>
          <w:szCs w:val="24"/>
          <w:highlight w:val="none"/>
        </w:rPr>
        <w:t>小时全年无休，</w:t>
      </w:r>
      <w:r>
        <w:rPr>
          <w:rFonts w:hint="eastAsia" w:ascii="Times New Roman" w:hAnsi="Times New Roman"/>
          <w:bCs/>
          <w:color w:val="auto"/>
          <w:kern w:val="0"/>
          <w:sz w:val="24"/>
          <w:szCs w:val="24"/>
          <w:highlight w:val="none"/>
          <w:lang w:eastAsia="zh-CN"/>
        </w:rPr>
        <w:t>质保期</w:t>
      </w:r>
      <w:r>
        <w:rPr>
          <w:rFonts w:hint="eastAsia" w:ascii="Times New Roman" w:hAnsi="Times New Roman"/>
          <w:bCs/>
          <w:color w:val="auto"/>
          <w:kern w:val="0"/>
          <w:sz w:val="24"/>
          <w:szCs w:val="24"/>
          <w:highlight w:val="none"/>
        </w:rPr>
        <w:t>自系统验收合格之日起计算。不接受该质保期的响应将不被接受。</w:t>
      </w:r>
    </w:p>
    <w:p w14:paraId="29AB1597">
      <w:pPr>
        <w:autoSpaceDE w:val="0"/>
        <w:autoSpaceDN w:val="0"/>
        <w:adjustRightInd w:val="0"/>
        <w:spacing w:line="360" w:lineRule="auto"/>
        <w:ind w:firstLine="480" w:firstLineChars="200"/>
        <w:jc w:val="left"/>
        <w:rPr>
          <w:rFonts w:ascii="Times New Roman" w:hAnsi="Times New Roman"/>
          <w:bCs/>
          <w:color w:val="auto"/>
          <w:kern w:val="0"/>
          <w:sz w:val="24"/>
          <w:szCs w:val="24"/>
          <w:highlight w:val="none"/>
        </w:rPr>
      </w:pPr>
      <w:r>
        <w:rPr>
          <w:rFonts w:ascii="Times New Roman" w:hAnsi="Times New Roman"/>
          <w:bCs/>
          <w:color w:val="auto"/>
          <w:kern w:val="0"/>
          <w:sz w:val="24"/>
          <w:szCs w:val="24"/>
          <w:highlight w:val="none"/>
        </w:rPr>
        <w:t>6.4</w:t>
      </w:r>
      <w:r>
        <w:rPr>
          <w:rFonts w:hint="eastAsia" w:ascii="Times New Roman" w:hAnsi="Times New Roman"/>
          <w:bCs/>
          <w:color w:val="auto"/>
          <w:kern w:val="0"/>
          <w:sz w:val="24"/>
          <w:szCs w:val="24"/>
          <w:highlight w:val="none"/>
        </w:rPr>
        <w:t>、质保期内（以本项目系统验收合格之日算起）应当为采购人提供以下技术支持和服务：</w:t>
      </w:r>
      <w:r>
        <w:rPr>
          <w:rFonts w:ascii="Times New Roman" w:hAnsi="Times New Roman"/>
          <w:bCs/>
          <w:color w:val="auto"/>
          <w:kern w:val="0"/>
          <w:sz w:val="24"/>
          <w:szCs w:val="24"/>
          <w:highlight w:val="none"/>
        </w:rPr>
        <w:t xml:space="preserve"> </w:t>
      </w:r>
    </w:p>
    <w:p w14:paraId="5C379555">
      <w:pPr>
        <w:autoSpaceDE w:val="0"/>
        <w:autoSpaceDN w:val="0"/>
        <w:adjustRightInd w:val="0"/>
        <w:spacing w:line="360" w:lineRule="auto"/>
        <w:ind w:firstLine="480" w:firstLineChars="200"/>
        <w:jc w:val="left"/>
        <w:rPr>
          <w:rFonts w:ascii="Times New Roman" w:hAnsi="Times New Roman"/>
          <w:bCs/>
          <w:color w:val="auto"/>
          <w:kern w:val="0"/>
          <w:sz w:val="24"/>
          <w:szCs w:val="24"/>
          <w:highlight w:val="none"/>
        </w:rPr>
      </w:pPr>
      <w:r>
        <w:rPr>
          <w:rFonts w:hint="eastAsia" w:ascii="Times New Roman" w:hAnsi="Times New Roman"/>
          <w:bCs/>
          <w:color w:val="auto"/>
          <w:kern w:val="0"/>
          <w:sz w:val="24"/>
          <w:szCs w:val="24"/>
          <w:highlight w:val="none"/>
        </w:rPr>
        <w:t>（</w:t>
      </w:r>
      <w:r>
        <w:rPr>
          <w:rFonts w:ascii="Times New Roman" w:hAnsi="Times New Roman"/>
          <w:bCs/>
          <w:color w:val="auto"/>
          <w:kern w:val="0"/>
          <w:sz w:val="24"/>
          <w:szCs w:val="24"/>
          <w:highlight w:val="none"/>
        </w:rPr>
        <w:t>1</w:t>
      </w:r>
      <w:r>
        <w:rPr>
          <w:rFonts w:hint="eastAsia" w:ascii="Times New Roman" w:hAnsi="Times New Roman"/>
          <w:bCs/>
          <w:color w:val="auto"/>
          <w:kern w:val="0"/>
          <w:sz w:val="24"/>
          <w:szCs w:val="24"/>
          <w:highlight w:val="none"/>
        </w:rPr>
        <w:t>）电话咨询。投标人或制造商应当为采购人提供技术援助电话，解答采购人在使用中遇到的问题，及时为采购人提出解决问题的建议和办法。</w:t>
      </w:r>
    </w:p>
    <w:p w14:paraId="12D3FBE5">
      <w:pPr>
        <w:autoSpaceDE w:val="0"/>
        <w:autoSpaceDN w:val="0"/>
        <w:adjustRightInd w:val="0"/>
        <w:spacing w:line="360" w:lineRule="auto"/>
        <w:ind w:firstLine="480" w:firstLineChars="20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2</w:t>
      </w:r>
      <w:r>
        <w:rPr>
          <w:rFonts w:hint="eastAsia" w:ascii="Times New Roman" w:hAnsi="Times New Roman"/>
          <w:color w:val="auto"/>
          <w:sz w:val="24"/>
          <w:szCs w:val="24"/>
          <w:highlight w:val="none"/>
        </w:rPr>
        <w:t>）现场响应。甲方遇到使用及技术问题，电话咨询不能解决的，汛期期间乙方售后应在</w:t>
      </w:r>
      <w:r>
        <w:rPr>
          <w:rFonts w:ascii="Times New Roman" w:hAnsi="Times New Roman"/>
          <w:color w:val="auto"/>
          <w:sz w:val="24"/>
          <w:szCs w:val="24"/>
          <w:highlight w:val="none"/>
        </w:rPr>
        <w:t>24</w:t>
      </w:r>
      <w:r>
        <w:rPr>
          <w:rFonts w:hint="eastAsia" w:ascii="Times New Roman" w:hAnsi="Times New Roman"/>
          <w:color w:val="auto"/>
          <w:sz w:val="24"/>
          <w:szCs w:val="24"/>
          <w:highlight w:val="none"/>
        </w:rPr>
        <w:t>小时内到达现场进行处理，非汛期期间应在</w:t>
      </w:r>
      <w:r>
        <w:rPr>
          <w:rFonts w:ascii="Times New Roman" w:hAnsi="Times New Roman"/>
          <w:color w:val="auto"/>
          <w:sz w:val="24"/>
          <w:szCs w:val="24"/>
          <w:highlight w:val="none"/>
        </w:rPr>
        <w:t>48</w:t>
      </w:r>
      <w:r>
        <w:rPr>
          <w:rFonts w:hint="eastAsia" w:ascii="Times New Roman" w:hAnsi="Times New Roman"/>
          <w:color w:val="auto"/>
          <w:sz w:val="24"/>
          <w:szCs w:val="24"/>
          <w:highlight w:val="none"/>
        </w:rPr>
        <w:t>小时内到达现场进行处理，确保设备系统正常工作；现场无法解决的，应在</w:t>
      </w:r>
      <w:r>
        <w:rPr>
          <w:rFonts w:ascii="Times New Roman" w:hAnsi="Times New Roman"/>
          <w:color w:val="auto"/>
          <w:sz w:val="24"/>
          <w:szCs w:val="24"/>
          <w:highlight w:val="none"/>
        </w:rPr>
        <w:t>10</w:t>
      </w:r>
      <w:r>
        <w:rPr>
          <w:rFonts w:hint="eastAsia" w:ascii="Times New Roman" w:hAnsi="Times New Roman"/>
          <w:color w:val="auto"/>
          <w:sz w:val="24"/>
          <w:szCs w:val="24"/>
          <w:highlight w:val="none"/>
        </w:rPr>
        <w:t>天内提供备用产品，使采购人能够正常使用。</w:t>
      </w:r>
    </w:p>
    <w:p w14:paraId="63B0A166">
      <w:pPr>
        <w:autoSpaceDE w:val="0"/>
        <w:autoSpaceDN w:val="0"/>
        <w:adjustRightInd w:val="0"/>
        <w:spacing w:line="360" w:lineRule="auto"/>
        <w:ind w:firstLine="480" w:firstLineChars="200"/>
        <w:jc w:val="left"/>
        <w:rPr>
          <w:rFonts w:ascii="Times New Roman" w:hAnsi="Times New Roman"/>
          <w:bCs/>
          <w:color w:val="auto"/>
          <w:kern w:val="0"/>
          <w:sz w:val="24"/>
          <w:szCs w:val="24"/>
          <w:highlight w:val="none"/>
        </w:rPr>
      </w:pPr>
      <w:r>
        <w:rPr>
          <w:rFonts w:hint="eastAsia" w:ascii="Times New Roman" w:hAnsi="Times New Roman"/>
          <w:bCs/>
          <w:color w:val="auto"/>
          <w:kern w:val="0"/>
          <w:sz w:val="24"/>
          <w:szCs w:val="24"/>
          <w:highlight w:val="none"/>
        </w:rPr>
        <w:t>（</w:t>
      </w:r>
      <w:r>
        <w:rPr>
          <w:rFonts w:ascii="Times New Roman" w:hAnsi="Times New Roman"/>
          <w:bCs/>
          <w:color w:val="auto"/>
          <w:kern w:val="0"/>
          <w:sz w:val="24"/>
          <w:szCs w:val="24"/>
          <w:highlight w:val="none"/>
        </w:rPr>
        <w:t>3</w:t>
      </w:r>
      <w:r>
        <w:rPr>
          <w:rFonts w:hint="eastAsia" w:ascii="Times New Roman" w:hAnsi="Times New Roman"/>
          <w:bCs/>
          <w:color w:val="auto"/>
          <w:kern w:val="0"/>
          <w:sz w:val="24"/>
          <w:szCs w:val="24"/>
          <w:highlight w:val="none"/>
        </w:rPr>
        <w:t>）投标人应当定期对所供设备运行情况进行检测，消除故障隐患，以保证设备的正常运行。</w:t>
      </w:r>
    </w:p>
    <w:p w14:paraId="7E86A297">
      <w:pPr>
        <w:autoSpaceDE w:val="0"/>
        <w:autoSpaceDN w:val="0"/>
        <w:adjustRightInd w:val="0"/>
        <w:spacing w:line="360" w:lineRule="auto"/>
        <w:ind w:firstLine="480" w:firstLineChars="200"/>
        <w:jc w:val="left"/>
        <w:rPr>
          <w:rFonts w:ascii="Times New Roman" w:hAnsi="Times New Roman"/>
          <w:bCs/>
          <w:color w:val="auto"/>
          <w:kern w:val="0"/>
          <w:sz w:val="24"/>
          <w:szCs w:val="24"/>
          <w:highlight w:val="none"/>
        </w:rPr>
      </w:pPr>
      <w:r>
        <w:rPr>
          <w:rFonts w:hint="eastAsia" w:ascii="Times New Roman" w:hAnsi="Times New Roman"/>
          <w:bCs/>
          <w:color w:val="auto"/>
          <w:kern w:val="0"/>
          <w:sz w:val="24"/>
          <w:szCs w:val="24"/>
          <w:highlight w:val="none"/>
        </w:rPr>
        <w:t>（</w:t>
      </w:r>
      <w:r>
        <w:rPr>
          <w:rFonts w:ascii="Times New Roman" w:hAnsi="Times New Roman"/>
          <w:bCs/>
          <w:color w:val="auto"/>
          <w:kern w:val="0"/>
          <w:sz w:val="24"/>
          <w:szCs w:val="24"/>
          <w:highlight w:val="none"/>
        </w:rPr>
        <w:t>4</w:t>
      </w:r>
      <w:r>
        <w:rPr>
          <w:rFonts w:hint="eastAsia" w:ascii="Times New Roman" w:hAnsi="Times New Roman"/>
          <w:bCs/>
          <w:color w:val="auto"/>
          <w:kern w:val="0"/>
          <w:sz w:val="24"/>
          <w:szCs w:val="24"/>
          <w:highlight w:val="none"/>
        </w:rPr>
        <w:t>）技术升级。在质保期内，如果制造商的产品技术升级，中标人应及时通知采购人，如采购人有相应要求，中标人和制造商应对采购人购买的产品进行优惠价格的有偿升级服务。</w:t>
      </w:r>
    </w:p>
    <w:p w14:paraId="702523FD">
      <w:pPr>
        <w:autoSpaceDE w:val="0"/>
        <w:autoSpaceDN w:val="0"/>
        <w:adjustRightInd w:val="0"/>
        <w:spacing w:line="360" w:lineRule="auto"/>
        <w:ind w:firstLine="480" w:firstLineChars="200"/>
        <w:jc w:val="left"/>
        <w:rPr>
          <w:rFonts w:ascii="Times New Roman" w:hAnsi="Times New Roman"/>
          <w:bCs/>
          <w:color w:val="auto"/>
          <w:kern w:val="0"/>
          <w:sz w:val="24"/>
          <w:szCs w:val="24"/>
          <w:highlight w:val="none"/>
        </w:rPr>
      </w:pPr>
      <w:r>
        <w:rPr>
          <w:rFonts w:ascii="Times New Roman" w:hAnsi="Times New Roman"/>
          <w:bCs/>
          <w:color w:val="auto"/>
          <w:kern w:val="0"/>
          <w:sz w:val="24"/>
          <w:szCs w:val="24"/>
          <w:highlight w:val="none"/>
        </w:rPr>
        <w:t>6.5</w:t>
      </w:r>
      <w:r>
        <w:rPr>
          <w:rFonts w:hint="eastAsia" w:ascii="Times New Roman" w:hAnsi="Times New Roman"/>
          <w:bCs/>
          <w:color w:val="auto"/>
          <w:kern w:val="0"/>
          <w:sz w:val="24"/>
          <w:szCs w:val="24"/>
          <w:highlight w:val="none"/>
        </w:rPr>
        <w:t>、质保期后应当为采购人提供以下技术支持和服务：</w:t>
      </w:r>
    </w:p>
    <w:p w14:paraId="3AD4B4F0">
      <w:pPr>
        <w:autoSpaceDE w:val="0"/>
        <w:autoSpaceDN w:val="0"/>
        <w:adjustRightInd w:val="0"/>
        <w:spacing w:line="360" w:lineRule="auto"/>
        <w:ind w:firstLine="480" w:firstLineChars="200"/>
        <w:jc w:val="left"/>
        <w:rPr>
          <w:rFonts w:ascii="Times New Roman" w:hAnsi="Times New Roman"/>
          <w:bCs/>
          <w:color w:val="auto"/>
          <w:kern w:val="0"/>
          <w:sz w:val="24"/>
          <w:szCs w:val="24"/>
          <w:highlight w:val="none"/>
        </w:rPr>
      </w:pPr>
      <w:r>
        <w:rPr>
          <w:rFonts w:hint="eastAsia" w:ascii="Times New Roman" w:hAnsi="Times New Roman"/>
          <w:bCs/>
          <w:color w:val="auto"/>
          <w:kern w:val="0"/>
          <w:sz w:val="24"/>
          <w:szCs w:val="24"/>
          <w:highlight w:val="none"/>
        </w:rPr>
        <w:t>（</w:t>
      </w:r>
      <w:r>
        <w:rPr>
          <w:rFonts w:ascii="Times New Roman" w:hAnsi="Times New Roman"/>
          <w:bCs/>
          <w:color w:val="auto"/>
          <w:kern w:val="0"/>
          <w:sz w:val="24"/>
          <w:szCs w:val="24"/>
          <w:highlight w:val="none"/>
        </w:rPr>
        <w:t>1</w:t>
      </w:r>
      <w:r>
        <w:rPr>
          <w:rFonts w:hint="eastAsia" w:ascii="Times New Roman" w:hAnsi="Times New Roman"/>
          <w:bCs/>
          <w:color w:val="auto"/>
          <w:kern w:val="0"/>
          <w:sz w:val="24"/>
          <w:szCs w:val="24"/>
          <w:highlight w:val="none"/>
        </w:rPr>
        <w:t>）应同样提供免费电话咨询服务，并应承诺优惠价格有偿提供产品上门维护服务。</w:t>
      </w:r>
    </w:p>
    <w:p w14:paraId="75EF46C4">
      <w:pPr>
        <w:autoSpaceDE w:val="0"/>
        <w:autoSpaceDN w:val="0"/>
        <w:adjustRightInd w:val="0"/>
        <w:spacing w:line="360" w:lineRule="auto"/>
        <w:ind w:firstLine="480" w:firstLineChars="200"/>
        <w:jc w:val="left"/>
        <w:rPr>
          <w:rFonts w:ascii="Times New Roman" w:hAnsi="Times New Roman"/>
          <w:bCs/>
          <w:color w:val="auto"/>
          <w:kern w:val="0"/>
          <w:sz w:val="24"/>
          <w:szCs w:val="24"/>
          <w:highlight w:val="none"/>
        </w:rPr>
      </w:pPr>
      <w:r>
        <w:rPr>
          <w:rFonts w:hint="eastAsia" w:ascii="Times New Roman" w:hAnsi="Times New Roman"/>
          <w:bCs/>
          <w:color w:val="auto"/>
          <w:kern w:val="0"/>
          <w:sz w:val="24"/>
          <w:szCs w:val="24"/>
          <w:highlight w:val="none"/>
        </w:rPr>
        <w:t>（</w:t>
      </w:r>
      <w:r>
        <w:rPr>
          <w:rFonts w:ascii="Times New Roman" w:hAnsi="Times New Roman"/>
          <w:bCs/>
          <w:color w:val="auto"/>
          <w:kern w:val="0"/>
          <w:sz w:val="24"/>
          <w:szCs w:val="24"/>
          <w:highlight w:val="none"/>
        </w:rPr>
        <w:t>2</w:t>
      </w:r>
      <w:r>
        <w:rPr>
          <w:rFonts w:hint="eastAsia" w:ascii="Times New Roman" w:hAnsi="Times New Roman"/>
          <w:bCs/>
          <w:color w:val="auto"/>
          <w:kern w:val="0"/>
          <w:sz w:val="24"/>
          <w:szCs w:val="24"/>
          <w:highlight w:val="none"/>
        </w:rPr>
        <w:t>）应以优惠价格继续提供售后服务。</w:t>
      </w:r>
    </w:p>
    <w:p w14:paraId="5C072503">
      <w:pPr>
        <w:autoSpaceDE w:val="0"/>
        <w:autoSpaceDN w:val="0"/>
        <w:adjustRightInd w:val="0"/>
        <w:spacing w:line="360" w:lineRule="auto"/>
        <w:ind w:firstLine="480" w:firstLineChars="200"/>
        <w:jc w:val="left"/>
        <w:rPr>
          <w:rFonts w:ascii="Times New Roman" w:hAnsi="Times New Roman"/>
          <w:bCs/>
          <w:color w:val="auto"/>
          <w:kern w:val="0"/>
          <w:sz w:val="24"/>
          <w:szCs w:val="24"/>
          <w:highlight w:val="none"/>
        </w:rPr>
      </w:pPr>
      <w:r>
        <w:rPr>
          <w:rFonts w:ascii="Times New Roman" w:hAnsi="Times New Roman"/>
          <w:bCs/>
          <w:color w:val="auto"/>
          <w:kern w:val="0"/>
          <w:sz w:val="24"/>
          <w:szCs w:val="24"/>
          <w:highlight w:val="none"/>
        </w:rPr>
        <w:t>7</w:t>
      </w:r>
      <w:r>
        <w:rPr>
          <w:rFonts w:hint="eastAsia" w:ascii="Times New Roman" w:hAnsi="Times New Roman"/>
          <w:bCs/>
          <w:color w:val="auto"/>
          <w:kern w:val="0"/>
          <w:sz w:val="24"/>
          <w:szCs w:val="24"/>
          <w:highlight w:val="none"/>
        </w:rPr>
        <w:t>、索赔</w:t>
      </w:r>
    </w:p>
    <w:p w14:paraId="2E007B12">
      <w:pPr>
        <w:autoSpaceDE w:val="0"/>
        <w:autoSpaceDN w:val="0"/>
        <w:adjustRightInd w:val="0"/>
        <w:spacing w:line="360" w:lineRule="auto"/>
        <w:ind w:firstLine="480" w:firstLineChars="200"/>
        <w:jc w:val="left"/>
        <w:rPr>
          <w:rFonts w:ascii="Times New Roman" w:hAnsi="Times New Roman"/>
          <w:bCs/>
          <w:color w:val="auto"/>
          <w:kern w:val="0"/>
          <w:sz w:val="24"/>
          <w:szCs w:val="24"/>
          <w:highlight w:val="none"/>
        </w:rPr>
      </w:pPr>
      <w:r>
        <w:rPr>
          <w:rFonts w:ascii="Times New Roman" w:hAnsi="Times New Roman"/>
          <w:bCs/>
          <w:color w:val="auto"/>
          <w:kern w:val="0"/>
          <w:sz w:val="24"/>
          <w:szCs w:val="24"/>
          <w:highlight w:val="none"/>
        </w:rPr>
        <w:t>7.1</w:t>
      </w:r>
      <w:r>
        <w:rPr>
          <w:rFonts w:hint="eastAsia" w:ascii="Times New Roman" w:hAnsi="Times New Roman"/>
          <w:bCs/>
          <w:color w:val="auto"/>
          <w:kern w:val="0"/>
          <w:sz w:val="24"/>
          <w:szCs w:val="24"/>
          <w:highlight w:val="none"/>
        </w:rPr>
        <w:t>、由于产品质量问题而造成的损失，中标人应承担造成损失的全部费用。</w:t>
      </w:r>
    </w:p>
    <w:p w14:paraId="73686F98">
      <w:pPr>
        <w:autoSpaceDE w:val="0"/>
        <w:autoSpaceDN w:val="0"/>
        <w:adjustRightInd w:val="0"/>
        <w:spacing w:line="360" w:lineRule="auto"/>
        <w:ind w:firstLine="480" w:firstLineChars="200"/>
        <w:jc w:val="left"/>
        <w:rPr>
          <w:rFonts w:ascii="Times New Roman" w:hAnsi="Times New Roman"/>
          <w:bCs/>
          <w:color w:val="auto"/>
          <w:kern w:val="0"/>
          <w:sz w:val="24"/>
          <w:szCs w:val="24"/>
          <w:highlight w:val="none"/>
        </w:rPr>
      </w:pPr>
      <w:r>
        <w:rPr>
          <w:rFonts w:ascii="Times New Roman" w:hAnsi="Times New Roman"/>
          <w:bCs/>
          <w:color w:val="auto"/>
          <w:kern w:val="0"/>
          <w:sz w:val="24"/>
          <w:szCs w:val="24"/>
          <w:highlight w:val="none"/>
        </w:rPr>
        <w:t>7.2</w:t>
      </w:r>
      <w:r>
        <w:rPr>
          <w:rFonts w:hint="eastAsia" w:ascii="Times New Roman" w:hAnsi="Times New Roman"/>
          <w:bCs/>
          <w:color w:val="auto"/>
          <w:kern w:val="0"/>
          <w:sz w:val="24"/>
          <w:szCs w:val="24"/>
          <w:highlight w:val="none"/>
        </w:rPr>
        <w:t>、中标人根据采购人的要求，有责任立即更换部分或全部问题产品，由此产生的其它费用均由中标人承担。</w:t>
      </w:r>
    </w:p>
    <w:p w14:paraId="169E5332">
      <w:pPr>
        <w:autoSpaceDE w:val="0"/>
        <w:autoSpaceDN w:val="0"/>
        <w:adjustRightInd w:val="0"/>
        <w:spacing w:line="360" w:lineRule="auto"/>
        <w:ind w:firstLine="480" w:firstLineChars="200"/>
        <w:jc w:val="left"/>
        <w:rPr>
          <w:rFonts w:ascii="Times New Roman" w:hAnsi="Times New Roman"/>
          <w:bCs/>
          <w:color w:val="auto"/>
          <w:kern w:val="0"/>
          <w:sz w:val="24"/>
          <w:szCs w:val="24"/>
          <w:highlight w:val="none"/>
        </w:rPr>
      </w:pPr>
      <w:r>
        <w:rPr>
          <w:rFonts w:ascii="Times New Roman" w:hAnsi="Times New Roman"/>
          <w:bCs/>
          <w:color w:val="auto"/>
          <w:kern w:val="0"/>
          <w:sz w:val="24"/>
          <w:szCs w:val="24"/>
          <w:highlight w:val="none"/>
        </w:rPr>
        <w:t>7.3</w:t>
      </w:r>
      <w:r>
        <w:rPr>
          <w:rFonts w:hint="eastAsia" w:ascii="Times New Roman" w:hAnsi="Times New Roman"/>
          <w:bCs/>
          <w:color w:val="auto"/>
          <w:kern w:val="0"/>
          <w:sz w:val="24"/>
          <w:szCs w:val="24"/>
          <w:highlight w:val="none"/>
        </w:rPr>
        <w:t>、对采购人提出的设备发生的故障现象和问题都必须提供合理的书面解释，提供解决方案，并避免再次出现此类问题。</w:t>
      </w:r>
    </w:p>
    <w:p w14:paraId="7B866F62">
      <w:pPr>
        <w:autoSpaceDE w:val="0"/>
        <w:autoSpaceDN w:val="0"/>
        <w:adjustRightInd w:val="0"/>
        <w:spacing w:line="360" w:lineRule="auto"/>
        <w:ind w:firstLine="480" w:firstLineChars="200"/>
        <w:jc w:val="left"/>
        <w:rPr>
          <w:rFonts w:ascii="Times New Roman" w:hAnsi="Times New Roman"/>
          <w:bCs/>
          <w:color w:val="auto"/>
          <w:kern w:val="0"/>
          <w:sz w:val="24"/>
          <w:szCs w:val="24"/>
          <w:highlight w:val="none"/>
        </w:rPr>
      </w:pPr>
      <w:r>
        <w:rPr>
          <w:rFonts w:ascii="Times New Roman" w:hAnsi="Times New Roman"/>
          <w:bCs/>
          <w:color w:val="auto"/>
          <w:kern w:val="0"/>
          <w:sz w:val="24"/>
          <w:szCs w:val="24"/>
          <w:highlight w:val="none"/>
        </w:rPr>
        <w:t>8</w:t>
      </w:r>
      <w:r>
        <w:rPr>
          <w:rFonts w:hint="eastAsia" w:ascii="Times New Roman" w:hAnsi="Times New Roman"/>
          <w:bCs/>
          <w:color w:val="auto"/>
          <w:kern w:val="0"/>
          <w:sz w:val="24"/>
          <w:szCs w:val="24"/>
          <w:highlight w:val="none"/>
        </w:rPr>
        <w:t>、安装调试要求</w:t>
      </w:r>
    </w:p>
    <w:p w14:paraId="1789EEF5">
      <w:pPr>
        <w:autoSpaceDE w:val="0"/>
        <w:autoSpaceDN w:val="0"/>
        <w:adjustRightInd w:val="0"/>
        <w:spacing w:line="360" w:lineRule="auto"/>
        <w:ind w:firstLine="480" w:firstLineChars="200"/>
        <w:jc w:val="left"/>
        <w:rPr>
          <w:rFonts w:ascii="Times New Roman" w:hAnsi="Times New Roman"/>
          <w:bCs/>
          <w:color w:val="auto"/>
          <w:kern w:val="0"/>
          <w:sz w:val="24"/>
          <w:szCs w:val="24"/>
          <w:highlight w:val="none"/>
        </w:rPr>
      </w:pPr>
      <w:r>
        <w:rPr>
          <w:rFonts w:hint="eastAsia" w:ascii="Times New Roman" w:hAnsi="Times New Roman"/>
          <w:bCs/>
          <w:color w:val="auto"/>
          <w:kern w:val="0"/>
          <w:sz w:val="24"/>
          <w:szCs w:val="24"/>
          <w:highlight w:val="none"/>
        </w:rPr>
        <w:t>中标人负责将设备、系统安装并调试至正常运行状态。</w:t>
      </w:r>
    </w:p>
    <w:p w14:paraId="156918F8">
      <w:pPr>
        <w:autoSpaceDE w:val="0"/>
        <w:autoSpaceDN w:val="0"/>
        <w:adjustRightInd w:val="0"/>
        <w:spacing w:line="360" w:lineRule="auto"/>
        <w:ind w:firstLine="480" w:firstLineChars="200"/>
        <w:jc w:val="left"/>
        <w:rPr>
          <w:rFonts w:ascii="Times New Roman" w:hAnsi="Times New Roman"/>
          <w:bCs/>
          <w:color w:val="auto"/>
          <w:kern w:val="0"/>
          <w:sz w:val="24"/>
          <w:szCs w:val="24"/>
          <w:highlight w:val="none"/>
        </w:rPr>
      </w:pPr>
      <w:r>
        <w:rPr>
          <w:rFonts w:ascii="Times New Roman" w:hAnsi="Times New Roman"/>
          <w:bCs/>
          <w:color w:val="auto"/>
          <w:kern w:val="0"/>
          <w:sz w:val="24"/>
          <w:szCs w:val="24"/>
          <w:highlight w:val="none"/>
        </w:rPr>
        <w:t>9</w:t>
      </w:r>
      <w:r>
        <w:rPr>
          <w:rFonts w:hint="eastAsia" w:ascii="Times New Roman" w:hAnsi="Times New Roman"/>
          <w:bCs/>
          <w:color w:val="auto"/>
          <w:kern w:val="0"/>
          <w:sz w:val="24"/>
          <w:szCs w:val="24"/>
          <w:highlight w:val="none"/>
        </w:rPr>
        <w:t>、验收方式：</w:t>
      </w:r>
    </w:p>
    <w:p w14:paraId="3C1FC893">
      <w:pPr>
        <w:autoSpaceDE w:val="0"/>
        <w:autoSpaceDN w:val="0"/>
        <w:adjustRightInd w:val="0"/>
        <w:spacing w:line="360" w:lineRule="auto"/>
        <w:ind w:firstLine="480" w:firstLineChars="200"/>
        <w:jc w:val="left"/>
        <w:rPr>
          <w:rFonts w:ascii="Times New Roman" w:hAnsi="Times New Roman"/>
          <w:bCs/>
          <w:color w:val="auto"/>
          <w:kern w:val="0"/>
          <w:sz w:val="24"/>
          <w:szCs w:val="24"/>
          <w:highlight w:val="none"/>
        </w:rPr>
      </w:pPr>
      <w:r>
        <w:rPr>
          <w:rFonts w:ascii="Times New Roman" w:hAnsi="Times New Roman"/>
          <w:bCs/>
          <w:color w:val="auto"/>
          <w:kern w:val="0"/>
          <w:sz w:val="24"/>
          <w:szCs w:val="24"/>
          <w:highlight w:val="none"/>
        </w:rPr>
        <w:t>9.1</w:t>
      </w:r>
      <w:r>
        <w:rPr>
          <w:rFonts w:hint="eastAsia" w:ascii="Times New Roman" w:hAnsi="Times New Roman"/>
          <w:bCs/>
          <w:color w:val="auto"/>
          <w:kern w:val="0"/>
          <w:sz w:val="24"/>
          <w:szCs w:val="24"/>
          <w:highlight w:val="none"/>
        </w:rPr>
        <w:t>出厂验收：合同签订之日起</w:t>
      </w:r>
      <w:r>
        <w:rPr>
          <w:rFonts w:ascii="Times New Roman" w:hAnsi="Times New Roman"/>
          <w:bCs/>
          <w:color w:val="auto"/>
          <w:kern w:val="0"/>
          <w:sz w:val="24"/>
          <w:szCs w:val="24"/>
          <w:highlight w:val="none"/>
        </w:rPr>
        <w:t>1</w:t>
      </w:r>
      <w:r>
        <w:rPr>
          <w:rFonts w:hint="eastAsia" w:ascii="Times New Roman" w:hAnsi="Times New Roman"/>
          <w:bCs/>
          <w:color w:val="auto"/>
          <w:kern w:val="0"/>
          <w:sz w:val="24"/>
          <w:szCs w:val="24"/>
          <w:highlight w:val="none"/>
        </w:rPr>
        <w:t>年内采购人对雷达设备进行验货，并出具雷达设备出厂验收报告。</w:t>
      </w:r>
    </w:p>
    <w:p w14:paraId="2AEBCAED">
      <w:pPr>
        <w:autoSpaceDE w:val="0"/>
        <w:autoSpaceDN w:val="0"/>
        <w:adjustRightInd w:val="0"/>
        <w:spacing w:line="360" w:lineRule="auto"/>
        <w:ind w:firstLine="480" w:firstLineChars="200"/>
        <w:jc w:val="left"/>
        <w:rPr>
          <w:rFonts w:ascii="Times New Roman" w:hAnsi="Times New Roman"/>
          <w:bCs/>
          <w:color w:val="auto"/>
          <w:kern w:val="0"/>
          <w:sz w:val="24"/>
          <w:szCs w:val="24"/>
          <w:highlight w:val="none"/>
        </w:rPr>
      </w:pPr>
      <w:r>
        <w:rPr>
          <w:rFonts w:ascii="Times New Roman" w:hAnsi="Times New Roman"/>
          <w:bCs/>
          <w:color w:val="auto"/>
          <w:kern w:val="0"/>
          <w:sz w:val="24"/>
          <w:szCs w:val="24"/>
          <w:highlight w:val="none"/>
        </w:rPr>
        <w:t>9.2</w:t>
      </w:r>
      <w:r>
        <w:rPr>
          <w:rFonts w:hint="eastAsia" w:ascii="Times New Roman" w:hAnsi="Times New Roman"/>
          <w:bCs/>
          <w:color w:val="auto"/>
          <w:kern w:val="0"/>
          <w:sz w:val="24"/>
          <w:szCs w:val="24"/>
          <w:highlight w:val="none"/>
        </w:rPr>
        <w:t>系统验收：雷达安装调试完成，达到可使用状态后，投入观测业务试运行，系统运行稳定，气象数据收发正常，输出的气象产品符合合同要求时，乙方书面向甲方提出验收申请，甲方接到申请后组织人员对雷达系统进行验收，并出具系统验收报告。甲方出具系统验收报告后，视为乙方已完成该期项目的交付。</w:t>
      </w:r>
    </w:p>
    <w:p w14:paraId="6B7807DC">
      <w:pPr>
        <w:autoSpaceDE w:val="0"/>
        <w:autoSpaceDN w:val="0"/>
        <w:adjustRightInd w:val="0"/>
        <w:spacing w:line="360" w:lineRule="auto"/>
        <w:ind w:firstLine="480" w:firstLineChars="200"/>
        <w:jc w:val="left"/>
        <w:rPr>
          <w:rFonts w:ascii="Times New Roman" w:hAnsi="Times New Roman"/>
          <w:bCs/>
          <w:color w:val="auto"/>
          <w:kern w:val="0"/>
          <w:sz w:val="24"/>
          <w:szCs w:val="24"/>
          <w:highlight w:val="none"/>
        </w:rPr>
      </w:pPr>
      <w:r>
        <w:rPr>
          <w:rFonts w:ascii="Times New Roman" w:hAnsi="Times New Roman"/>
          <w:bCs/>
          <w:color w:val="auto"/>
          <w:kern w:val="0"/>
          <w:sz w:val="24"/>
          <w:szCs w:val="24"/>
          <w:highlight w:val="none"/>
        </w:rPr>
        <w:t>9.3</w:t>
      </w:r>
      <w:r>
        <w:rPr>
          <w:rFonts w:hint="eastAsia" w:ascii="Times New Roman" w:hAnsi="Times New Roman"/>
          <w:bCs/>
          <w:color w:val="auto"/>
          <w:kern w:val="0"/>
          <w:sz w:val="24"/>
          <w:szCs w:val="24"/>
          <w:highlight w:val="none"/>
        </w:rPr>
        <w:t>终期验收：项目通过系统验收，经甲方通知后，乙方准备好所有相关材料，书面向甲方提出验收申请，甲方接到申请后组织人员对采购项目（除运维保障服务以外的全部建设内容）进行终期验收，并出具项目终期验收报告。</w:t>
      </w:r>
    </w:p>
    <w:p w14:paraId="5382082C">
      <w:pPr>
        <w:autoSpaceDE w:val="0"/>
        <w:autoSpaceDN w:val="0"/>
        <w:adjustRightInd w:val="0"/>
        <w:spacing w:line="360" w:lineRule="auto"/>
        <w:ind w:firstLine="480" w:firstLineChars="200"/>
        <w:jc w:val="left"/>
        <w:rPr>
          <w:rFonts w:ascii="Times New Roman" w:hAnsi="Times New Roman"/>
          <w:bCs/>
          <w:color w:val="auto"/>
          <w:kern w:val="0"/>
          <w:sz w:val="24"/>
          <w:szCs w:val="24"/>
          <w:highlight w:val="none"/>
        </w:rPr>
      </w:pPr>
      <w:r>
        <w:rPr>
          <w:rFonts w:ascii="Times New Roman" w:hAnsi="Times New Roman"/>
          <w:bCs/>
          <w:color w:val="auto"/>
          <w:kern w:val="0"/>
          <w:sz w:val="24"/>
          <w:szCs w:val="24"/>
          <w:highlight w:val="none"/>
        </w:rPr>
        <w:t>9.4</w:t>
      </w:r>
      <w:r>
        <w:rPr>
          <w:rFonts w:hint="eastAsia" w:ascii="Times New Roman" w:hAnsi="Times New Roman"/>
          <w:bCs/>
          <w:color w:val="auto"/>
          <w:kern w:val="0"/>
          <w:sz w:val="24"/>
          <w:szCs w:val="24"/>
          <w:highlight w:val="none"/>
        </w:rPr>
        <w:t>如因第三方不可控原因导致工期延迟，乙方可视情况向甲方书面递交延期申请，甲方批复同意后，方可延期。</w:t>
      </w:r>
    </w:p>
    <w:p w14:paraId="711D0FBB">
      <w:pPr>
        <w:autoSpaceDE w:val="0"/>
        <w:autoSpaceDN w:val="0"/>
        <w:adjustRightInd w:val="0"/>
        <w:spacing w:line="360" w:lineRule="auto"/>
        <w:ind w:firstLine="480" w:firstLineChars="200"/>
        <w:jc w:val="left"/>
        <w:rPr>
          <w:rFonts w:ascii="Times New Roman" w:hAnsi="Times New Roman"/>
          <w:bCs/>
          <w:color w:val="auto"/>
          <w:kern w:val="0"/>
          <w:sz w:val="24"/>
          <w:szCs w:val="24"/>
          <w:highlight w:val="none"/>
        </w:rPr>
      </w:pPr>
      <w:r>
        <w:rPr>
          <w:rFonts w:hint="eastAsia" w:ascii="Times New Roman" w:hAnsi="Times New Roman"/>
          <w:bCs/>
          <w:color w:val="auto"/>
          <w:kern w:val="0"/>
          <w:sz w:val="24"/>
          <w:szCs w:val="24"/>
          <w:highlight w:val="none"/>
        </w:rPr>
        <w:t>10.组网功能要求：投标产品具备组网功能，其布设后，利于与周边S、X波段天气雷达组网并实现数据互补，可填补气象监测空白，增强监测预警服务能力。</w:t>
      </w:r>
    </w:p>
    <w:p w14:paraId="7A70F718">
      <w:pPr>
        <w:pStyle w:val="18"/>
        <w:rPr>
          <w:color w:val="auto"/>
          <w:highlight w:val="none"/>
        </w:rPr>
      </w:pPr>
    </w:p>
    <w:p w14:paraId="7CC16ACD">
      <w:pPr>
        <w:pStyle w:val="18"/>
        <w:rPr>
          <w:color w:val="auto"/>
          <w:highlight w:val="none"/>
        </w:rPr>
      </w:pPr>
    </w:p>
    <w:p w14:paraId="4B9C9BFE">
      <w:pPr>
        <w:spacing w:line="360" w:lineRule="auto"/>
        <w:outlineLvl w:val="0"/>
        <w:rPr>
          <w:rFonts w:ascii="Times New Roman" w:hAnsi="Times New Roman"/>
          <w:b/>
          <w:bCs/>
          <w:color w:val="auto"/>
          <w:sz w:val="24"/>
          <w:szCs w:val="24"/>
          <w:highlight w:val="none"/>
        </w:rPr>
        <w:sectPr>
          <w:pgSz w:w="11906" w:h="16838"/>
          <w:pgMar w:top="1440" w:right="1946" w:bottom="1440" w:left="1560" w:header="851" w:footer="737" w:gutter="0"/>
          <w:cols w:space="720" w:num="1"/>
          <w:titlePg/>
          <w:docGrid w:type="lines" w:linePitch="381" w:charSpace="0"/>
        </w:sectPr>
      </w:pPr>
    </w:p>
    <w:p w14:paraId="2D6A86E9">
      <w:pPr>
        <w:spacing w:line="360" w:lineRule="auto"/>
        <w:jc w:val="center"/>
        <w:outlineLvl w:val="0"/>
        <w:rPr>
          <w:rFonts w:ascii="Times New Roman" w:hAnsi="Times New Roman"/>
          <w:b/>
          <w:bCs/>
          <w:color w:val="auto"/>
          <w:sz w:val="30"/>
          <w:szCs w:val="32"/>
          <w:highlight w:val="none"/>
          <w:shd w:val="clear" w:color="auto" w:fill="FFFFFF"/>
        </w:rPr>
      </w:pPr>
      <w:bookmarkStart w:id="461" w:name="_Toc176358367"/>
      <w:r>
        <w:rPr>
          <w:rFonts w:hint="eastAsia" w:ascii="Times New Roman" w:hAnsi="Times New Roman"/>
          <w:b/>
          <w:bCs/>
          <w:color w:val="auto"/>
          <w:sz w:val="30"/>
          <w:szCs w:val="32"/>
          <w:highlight w:val="none"/>
          <w:shd w:val="clear" w:color="auto" w:fill="FFFFFF"/>
        </w:rPr>
        <w:t>第四章</w:t>
      </w:r>
      <w:r>
        <w:rPr>
          <w:rFonts w:ascii="Times New Roman" w:hAnsi="Times New Roman"/>
          <w:b/>
          <w:bCs/>
          <w:color w:val="auto"/>
          <w:sz w:val="30"/>
          <w:szCs w:val="32"/>
          <w:highlight w:val="none"/>
          <w:shd w:val="clear" w:color="auto" w:fill="FFFFFF"/>
        </w:rPr>
        <w:t xml:space="preserve">  </w:t>
      </w:r>
      <w:r>
        <w:rPr>
          <w:rFonts w:hint="eastAsia" w:ascii="Times New Roman" w:hAnsi="Times New Roman"/>
          <w:b/>
          <w:bCs/>
          <w:color w:val="auto"/>
          <w:sz w:val="30"/>
          <w:szCs w:val="32"/>
          <w:highlight w:val="none"/>
          <w:shd w:val="clear" w:color="auto" w:fill="FFFFFF"/>
        </w:rPr>
        <w:t>评标办法</w:t>
      </w:r>
      <w:bookmarkEnd w:id="458"/>
      <w:bookmarkEnd w:id="459"/>
      <w:bookmarkEnd w:id="460"/>
      <w:bookmarkEnd w:id="461"/>
    </w:p>
    <w:p w14:paraId="7DEFCB8E">
      <w:pPr>
        <w:spacing w:line="360" w:lineRule="auto"/>
        <w:jc w:val="left"/>
        <w:rPr>
          <w:rFonts w:ascii="Times New Roman" w:hAnsi="Times New Roman" w:eastAsia="仿宋_GB2312"/>
          <w:b/>
          <w:color w:val="auto"/>
          <w:sz w:val="24"/>
          <w:szCs w:val="24"/>
          <w:highlight w:val="none"/>
        </w:rPr>
      </w:pPr>
      <w:bookmarkStart w:id="462" w:name="_Toc170287665"/>
      <w:bookmarkStart w:id="463" w:name="_Toc170287317"/>
      <w:bookmarkStart w:id="464" w:name="_Toc176358368"/>
      <w:r>
        <w:rPr>
          <w:rFonts w:hint="eastAsia" w:ascii="Times New Roman" w:hAnsi="Times New Roman" w:eastAsia="仿宋_GB2312"/>
          <w:b/>
          <w:bCs/>
          <w:color w:val="auto"/>
          <w:sz w:val="24"/>
          <w:szCs w:val="32"/>
          <w:highlight w:val="none"/>
          <w:lang w:val="zh-CN" w:bidi="zh-CN"/>
        </w:rPr>
        <w:t>附件一：</w:t>
      </w:r>
      <w:bookmarkEnd w:id="462"/>
      <w:bookmarkEnd w:id="463"/>
      <w:bookmarkEnd w:id="464"/>
      <w:r>
        <w:rPr>
          <w:rFonts w:hint="eastAsia" w:ascii="Times New Roman" w:hAnsi="Times New Roman" w:eastAsia="仿宋_GB2312"/>
          <w:b/>
          <w:bCs/>
          <w:color w:val="auto"/>
          <w:sz w:val="24"/>
          <w:szCs w:val="32"/>
          <w:highlight w:val="none"/>
          <w:lang w:bidi="zh-CN"/>
        </w:rPr>
        <w:t>初步评审</w:t>
      </w:r>
    </w:p>
    <w:p w14:paraId="5995B152">
      <w:pPr>
        <w:spacing w:line="440" w:lineRule="exact"/>
        <w:jc w:val="center"/>
        <w:rPr>
          <w:rFonts w:ascii="Times New Roman" w:hAnsi="Times New Roman"/>
          <w:color w:val="auto"/>
          <w:kern w:val="0"/>
          <w:sz w:val="24"/>
          <w:szCs w:val="24"/>
          <w:highlight w:val="none"/>
          <w:u w:color="000000"/>
        </w:rPr>
      </w:pPr>
      <w:r>
        <w:rPr>
          <w:rFonts w:hint="eastAsia" w:ascii="Times New Roman" w:hAnsi="Times New Roman"/>
          <w:b/>
          <w:color w:val="auto"/>
          <w:kern w:val="0"/>
          <w:sz w:val="24"/>
          <w:highlight w:val="none"/>
          <w:u w:color="000000"/>
        </w:rPr>
        <w:t>评标办法前附表</w:t>
      </w:r>
    </w:p>
    <w:tbl>
      <w:tblPr>
        <w:tblStyle w:val="12"/>
        <w:tblW w:w="9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70"/>
        <w:gridCol w:w="3985"/>
        <w:gridCol w:w="3613"/>
      </w:tblGrid>
      <w:tr w14:paraId="4570C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80" w:type="dxa"/>
            <w:gridSpan w:val="2"/>
            <w:vAlign w:val="center"/>
          </w:tcPr>
          <w:p w14:paraId="36D12E28">
            <w:pPr>
              <w:spacing w:line="360" w:lineRule="auto"/>
              <w:jc w:val="center"/>
              <w:rPr>
                <w:rFonts w:ascii="Times New Roman" w:hAnsi="Times New Roman"/>
                <w:b/>
                <w:bCs/>
                <w:color w:val="auto"/>
                <w:sz w:val="24"/>
                <w:szCs w:val="24"/>
                <w:highlight w:val="none"/>
              </w:rPr>
            </w:pPr>
            <w:r>
              <w:rPr>
                <w:rFonts w:hint="eastAsia" w:ascii="Times New Roman" w:hAnsi="Times New Roman"/>
                <w:b/>
                <w:bCs/>
                <w:color w:val="auto"/>
                <w:sz w:val="24"/>
                <w:szCs w:val="24"/>
                <w:highlight w:val="none"/>
              </w:rPr>
              <w:t>条款号</w:t>
            </w:r>
          </w:p>
        </w:tc>
        <w:tc>
          <w:tcPr>
            <w:tcW w:w="3985" w:type="dxa"/>
            <w:vAlign w:val="center"/>
          </w:tcPr>
          <w:p w14:paraId="0377DEB7">
            <w:pPr>
              <w:spacing w:line="360" w:lineRule="auto"/>
              <w:jc w:val="center"/>
              <w:rPr>
                <w:rFonts w:ascii="Times New Roman" w:hAnsi="Times New Roman"/>
                <w:b/>
                <w:bCs/>
                <w:color w:val="auto"/>
                <w:sz w:val="24"/>
                <w:szCs w:val="24"/>
                <w:highlight w:val="none"/>
              </w:rPr>
            </w:pPr>
            <w:r>
              <w:rPr>
                <w:rFonts w:hint="eastAsia" w:ascii="Times New Roman" w:hAnsi="Times New Roman"/>
                <w:b/>
                <w:bCs/>
                <w:color w:val="auto"/>
                <w:sz w:val="24"/>
                <w:szCs w:val="24"/>
                <w:highlight w:val="none"/>
              </w:rPr>
              <w:t>评审因素</w:t>
            </w:r>
          </w:p>
        </w:tc>
        <w:tc>
          <w:tcPr>
            <w:tcW w:w="3613" w:type="dxa"/>
            <w:vAlign w:val="center"/>
          </w:tcPr>
          <w:p w14:paraId="2F00673D">
            <w:pPr>
              <w:spacing w:line="360" w:lineRule="auto"/>
              <w:jc w:val="center"/>
              <w:rPr>
                <w:rFonts w:ascii="Times New Roman" w:hAnsi="Times New Roman"/>
                <w:b/>
                <w:bCs/>
                <w:color w:val="auto"/>
                <w:sz w:val="24"/>
                <w:szCs w:val="24"/>
                <w:highlight w:val="none"/>
              </w:rPr>
            </w:pPr>
            <w:r>
              <w:rPr>
                <w:rFonts w:hint="eastAsia" w:ascii="Times New Roman" w:hAnsi="Times New Roman"/>
                <w:b/>
                <w:bCs/>
                <w:color w:val="auto"/>
                <w:sz w:val="24"/>
                <w:szCs w:val="24"/>
                <w:highlight w:val="none"/>
              </w:rPr>
              <w:t>评审标准</w:t>
            </w:r>
          </w:p>
        </w:tc>
      </w:tr>
      <w:tr w14:paraId="7155B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10" w:type="dxa"/>
            <w:vMerge w:val="restart"/>
            <w:vAlign w:val="center"/>
          </w:tcPr>
          <w:p w14:paraId="15A8946E">
            <w:pPr>
              <w:snapToGrid w:val="0"/>
              <w:spacing w:before="102" w:after="102" w:line="360" w:lineRule="auto"/>
              <w:jc w:val="center"/>
              <w:rPr>
                <w:rFonts w:ascii="Times New Roman" w:hAnsi="Times New Roman"/>
                <w:color w:val="auto"/>
                <w:kern w:val="0"/>
                <w:sz w:val="24"/>
                <w:szCs w:val="24"/>
                <w:highlight w:val="none"/>
                <w:u w:color="000000"/>
              </w:rPr>
            </w:pPr>
            <w:r>
              <w:rPr>
                <w:rFonts w:ascii="Times New Roman" w:hAnsi="Times New Roman"/>
                <w:color w:val="auto"/>
                <w:kern w:val="0"/>
                <w:sz w:val="24"/>
                <w:szCs w:val="24"/>
                <w:highlight w:val="none"/>
                <w:u w:color="000000"/>
              </w:rPr>
              <w:t>3.1</w:t>
            </w:r>
          </w:p>
        </w:tc>
        <w:tc>
          <w:tcPr>
            <w:tcW w:w="970" w:type="dxa"/>
            <w:vMerge w:val="restart"/>
            <w:vAlign w:val="center"/>
          </w:tcPr>
          <w:p w14:paraId="01219620">
            <w:pPr>
              <w:snapToGrid w:val="0"/>
              <w:spacing w:before="102" w:after="102" w:line="360" w:lineRule="auto"/>
              <w:jc w:val="center"/>
              <w:rPr>
                <w:rFonts w:ascii="Times New Roman" w:hAnsi="Times New Roman"/>
                <w:color w:val="auto"/>
                <w:kern w:val="0"/>
                <w:sz w:val="24"/>
                <w:szCs w:val="24"/>
                <w:highlight w:val="none"/>
                <w:u w:color="000000"/>
              </w:rPr>
            </w:pPr>
            <w:r>
              <w:rPr>
                <w:rFonts w:hint="eastAsia" w:ascii="Times New Roman" w:hAnsi="Times New Roman"/>
                <w:color w:val="auto"/>
                <w:kern w:val="0"/>
                <w:sz w:val="24"/>
                <w:szCs w:val="24"/>
                <w:highlight w:val="none"/>
                <w:u w:color="000000"/>
              </w:rPr>
              <w:t>形式评审标准</w:t>
            </w:r>
          </w:p>
        </w:tc>
        <w:tc>
          <w:tcPr>
            <w:tcW w:w="3985" w:type="dxa"/>
            <w:vAlign w:val="center"/>
          </w:tcPr>
          <w:p w14:paraId="5C88E169">
            <w:pPr>
              <w:spacing w:line="360" w:lineRule="auto"/>
              <w:jc w:val="center"/>
              <w:textAlignment w:val="baseline"/>
              <w:rPr>
                <w:rFonts w:ascii="Times New Roman" w:hAnsi="Times New Roman"/>
                <w:color w:val="auto"/>
                <w:kern w:val="0"/>
                <w:sz w:val="24"/>
                <w:szCs w:val="24"/>
                <w:highlight w:val="none"/>
                <w:u w:color="000000"/>
              </w:rPr>
            </w:pPr>
            <w:r>
              <w:rPr>
                <w:rFonts w:hint="eastAsia" w:ascii="Times New Roman" w:hAnsi="Times New Roman"/>
                <w:color w:val="auto"/>
                <w:kern w:val="0"/>
                <w:sz w:val="24"/>
                <w:szCs w:val="24"/>
                <w:highlight w:val="none"/>
                <w:u w:color="000000"/>
              </w:rPr>
              <w:t>供应商名称</w:t>
            </w:r>
          </w:p>
        </w:tc>
        <w:tc>
          <w:tcPr>
            <w:tcW w:w="3613" w:type="dxa"/>
            <w:vAlign w:val="center"/>
          </w:tcPr>
          <w:p w14:paraId="5D2FAEC3">
            <w:pPr>
              <w:spacing w:line="360" w:lineRule="auto"/>
              <w:jc w:val="left"/>
              <w:textAlignment w:val="baseline"/>
              <w:rPr>
                <w:rFonts w:ascii="Times New Roman" w:hAnsi="Times New Roman"/>
                <w:color w:val="auto"/>
                <w:kern w:val="0"/>
                <w:sz w:val="24"/>
                <w:szCs w:val="24"/>
                <w:highlight w:val="none"/>
                <w:u w:color="000000"/>
              </w:rPr>
            </w:pPr>
            <w:r>
              <w:rPr>
                <w:rFonts w:hint="eastAsia" w:ascii="Times New Roman" w:hAnsi="Times New Roman"/>
                <w:color w:val="auto"/>
                <w:kern w:val="0"/>
                <w:sz w:val="24"/>
                <w:szCs w:val="24"/>
                <w:highlight w:val="none"/>
                <w:u w:color="000000"/>
              </w:rPr>
              <w:t>与营业执照一致</w:t>
            </w:r>
          </w:p>
        </w:tc>
      </w:tr>
      <w:tr w14:paraId="67388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710" w:type="dxa"/>
            <w:vMerge w:val="continue"/>
            <w:vAlign w:val="center"/>
          </w:tcPr>
          <w:p w14:paraId="7F4B788C">
            <w:pPr>
              <w:snapToGrid w:val="0"/>
              <w:spacing w:before="102" w:after="102" w:line="360" w:lineRule="auto"/>
              <w:jc w:val="center"/>
              <w:rPr>
                <w:rFonts w:ascii="Times New Roman" w:hAnsi="Times New Roman"/>
                <w:color w:val="auto"/>
                <w:kern w:val="0"/>
                <w:sz w:val="24"/>
                <w:szCs w:val="24"/>
                <w:highlight w:val="none"/>
                <w:u w:color="000000"/>
              </w:rPr>
            </w:pPr>
          </w:p>
        </w:tc>
        <w:tc>
          <w:tcPr>
            <w:tcW w:w="970" w:type="dxa"/>
            <w:vMerge w:val="continue"/>
            <w:vAlign w:val="center"/>
          </w:tcPr>
          <w:p w14:paraId="29C2D670">
            <w:pPr>
              <w:snapToGrid w:val="0"/>
              <w:spacing w:before="102" w:after="102" w:line="360" w:lineRule="auto"/>
              <w:jc w:val="center"/>
              <w:rPr>
                <w:rFonts w:ascii="Times New Roman" w:hAnsi="Times New Roman"/>
                <w:color w:val="auto"/>
                <w:kern w:val="0"/>
                <w:sz w:val="24"/>
                <w:szCs w:val="24"/>
                <w:highlight w:val="none"/>
                <w:u w:color="000000"/>
              </w:rPr>
            </w:pPr>
          </w:p>
        </w:tc>
        <w:tc>
          <w:tcPr>
            <w:tcW w:w="3985" w:type="dxa"/>
            <w:vAlign w:val="center"/>
          </w:tcPr>
          <w:p w14:paraId="074DC2BC">
            <w:pPr>
              <w:spacing w:line="360" w:lineRule="auto"/>
              <w:jc w:val="center"/>
              <w:textAlignment w:val="baseline"/>
              <w:rPr>
                <w:rFonts w:ascii="Times New Roman" w:hAnsi="Times New Roman"/>
                <w:color w:val="auto"/>
                <w:kern w:val="0"/>
                <w:sz w:val="24"/>
                <w:szCs w:val="24"/>
                <w:highlight w:val="none"/>
                <w:u w:color="000000"/>
              </w:rPr>
            </w:pPr>
            <w:r>
              <w:rPr>
                <w:rFonts w:hint="eastAsia" w:ascii="Times New Roman" w:hAnsi="Times New Roman"/>
                <w:color w:val="auto"/>
                <w:kern w:val="0"/>
                <w:sz w:val="24"/>
                <w:szCs w:val="24"/>
                <w:highlight w:val="none"/>
                <w:u w:color="000000"/>
              </w:rPr>
              <w:t>签字、盖章</w:t>
            </w:r>
          </w:p>
        </w:tc>
        <w:tc>
          <w:tcPr>
            <w:tcW w:w="3613" w:type="dxa"/>
            <w:vAlign w:val="center"/>
          </w:tcPr>
          <w:p w14:paraId="0EB21729">
            <w:pPr>
              <w:spacing w:line="360" w:lineRule="auto"/>
              <w:jc w:val="left"/>
              <w:textAlignment w:val="baseline"/>
              <w:rPr>
                <w:rFonts w:ascii="Times New Roman" w:hAnsi="Times New Roman"/>
                <w:color w:val="auto"/>
                <w:kern w:val="0"/>
                <w:sz w:val="24"/>
                <w:szCs w:val="24"/>
                <w:highlight w:val="none"/>
                <w:u w:color="000000"/>
              </w:rPr>
            </w:pPr>
            <w:r>
              <w:rPr>
                <w:rFonts w:hint="eastAsia" w:ascii="Times New Roman" w:hAnsi="Times New Roman"/>
                <w:color w:val="auto"/>
                <w:kern w:val="0"/>
                <w:sz w:val="24"/>
                <w:szCs w:val="24"/>
                <w:highlight w:val="none"/>
                <w:u w:color="000000"/>
              </w:rPr>
              <w:t>有法定代表人或其委托代理人签字或盖章并加盖单位公章</w:t>
            </w:r>
          </w:p>
        </w:tc>
      </w:tr>
      <w:tr w14:paraId="0B782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710" w:type="dxa"/>
            <w:vMerge w:val="continue"/>
            <w:vAlign w:val="center"/>
          </w:tcPr>
          <w:p w14:paraId="04670D5E">
            <w:pPr>
              <w:snapToGrid w:val="0"/>
              <w:spacing w:before="102" w:after="102" w:line="360" w:lineRule="auto"/>
              <w:jc w:val="center"/>
              <w:rPr>
                <w:rFonts w:ascii="Times New Roman" w:hAnsi="Times New Roman"/>
                <w:color w:val="auto"/>
                <w:kern w:val="0"/>
                <w:sz w:val="24"/>
                <w:szCs w:val="24"/>
                <w:highlight w:val="none"/>
                <w:u w:color="000000"/>
              </w:rPr>
            </w:pPr>
          </w:p>
        </w:tc>
        <w:tc>
          <w:tcPr>
            <w:tcW w:w="970" w:type="dxa"/>
            <w:vMerge w:val="continue"/>
            <w:vAlign w:val="center"/>
          </w:tcPr>
          <w:p w14:paraId="5A973403">
            <w:pPr>
              <w:snapToGrid w:val="0"/>
              <w:spacing w:before="102" w:after="102" w:line="360" w:lineRule="auto"/>
              <w:jc w:val="center"/>
              <w:rPr>
                <w:rFonts w:ascii="Times New Roman" w:hAnsi="Times New Roman"/>
                <w:color w:val="auto"/>
                <w:kern w:val="0"/>
                <w:sz w:val="24"/>
                <w:szCs w:val="24"/>
                <w:highlight w:val="none"/>
                <w:u w:color="000000"/>
              </w:rPr>
            </w:pPr>
          </w:p>
        </w:tc>
        <w:tc>
          <w:tcPr>
            <w:tcW w:w="3985" w:type="dxa"/>
            <w:vAlign w:val="center"/>
          </w:tcPr>
          <w:p w14:paraId="56BC37FB">
            <w:pPr>
              <w:snapToGrid w:val="0"/>
              <w:spacing w:line="360" w:lineRule="auto"/>
              <w:jc w:val="center"/>
              <w:rPr>
                <w:rFonts w:ascii="Times New Roman" w:hAnsi="Times New Roman"/>
                <w:color w:val="auto"/>
                <w:kern w:val="0"/>
                <w:sz w:val="24"/>
                <w:szCs w:val="24"/>
                <w:highlight w:val="none"/>
                <w:u w:color="000000"/>
              </w:rPr>
            </w:pPr>
            <w:r>
              <w:rPr>
                <w:rFonts w:hint="eastAsia" w:ascii="Times New Roman" w:hAnsi="Times New Roman"/>
                <w:color w:val="auto"/>
                <w:kern w:val="0"/>
                <w:sz w:val="24"/>
                <w:szCs w:val="24"/>
                <w:highlight w:val="none"/>
                <w:u w:color="000000"/>
              </w:rPr>
              <w:t>报价唯一</w:t>
            </w:r>
          </w:p>
        </w:tc>
        <w:tc>
          <w:tcPr>
            <w:tcW w:w="3613" w:type="dxa"/>
            <w:vAlign w:val="center"/>
          </w:tcPr>
          <w:p w14:paraId="440E9919">
            <w:pPr>
              <w:snapToGrid w:val="0"/>
              <w:spacing w:line="360" w:lineRule="auto"/>
              <w:jc w:val="left"/>
              <w:textAlignment w:val="baseline"/>
              <w:rPr>
                <w:rFonts w:ascii="Times New Roman" w:hAnsi="Times New Roman"/>
                <w:color w:val="auto"/>
                <w:kern w:val="0"/>
                <w:sz w:val="24"/>
                <w:szCs w:val="24"/>
                <w:highlight w:val="none"/>
                <w:u w:color="000000"/>
              </w:rPr>
            </w:pPr>
            <w:r>
              <w:rPr>
                <w:rFonts w:hint="eastAsia" w:ascii="Times New Roman" w:hAnsi="Times New Roman"/>
                <w:color w:val="auto"/>
                <w:kern w:val="0"/>
                <w:sz w:val="24"/>
                <w:szCs w:val="24"/>
                <w:highlight w:val="none"/>
                <w:u w:color="000000"/>
              </w:rPr>
              <w:t>只能有一个有效报价，且不超过控制价</w:t>
            </w:r>
          </w:p>
        </w:tc>
      </w:tr>
      <w:tr w14:paraId="373BA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710" w:type="dxa"/>
            <w:vMerge w:val="restart"/>
            <w:vAlign w:val="center"/>
          </w:tcPr>
          <w:p w14:paraId="3A63ED39">
            <w:pPr>
              <w:snapToGrid w:val="0"/>
              <w:spacing w:before="102" w:after="102" w:line="360" w:lineRule="auto"/>
              <w:jc w:val="center"/>
              <w:rPr>
                <w:rFonts w:ascii="Times New Roman" w:hAnsi="Times New Roman"/>
                <w:color w:val="auto"/>
                <w:kern w:val="0"/>
                <w:sz w:val="24"/>
                <w:szCs w:val="24"/>
                <w:highlight w:val="none"/>
                <w:u w:color="000000"/>
              </w:rPr>
            </w:pPr>
            <w:r>
              <w:rPr>
                <w:rFonts w:ascii="Times New Roman" w:hAnsi="Times New Roman"/>
                <w:color w:val="auto"/>
                <w:kern w:val="0"/>
                <w:sz w:val="24"/>
                <w:szCs w:val="24"/>
                <w:highlight w:val="none"/>
                <w:u w:color="000000"/>
              </w:rPr>
              <w:t>3.2</w:t>
            </w:r>
          </w:p>
        </w:tc>
        <w:tc>
          <w:tcPr>
            <w:tcW w:w="970" w:type="dxa"/>
            <w:vMerge w:val="restart"/>
            <w:vAlign w:val="center"/>
          </w:tcPr>
          <w:p w14:paraId="41254B2D">
            <w:pPr>
              <w:snapToGrid w:val="0"/>
              <w:spacing w:before="102" w:after="102" w:line="360" w:lineRule="auto"/>
              <w:jc w:val="center"/>
              <w:rPr>
                <w:rFonts w:ascii="Times New Roman" w:hAnsi="Times New Roman"/>
                <w:color w:val="auto"/>
                <w:kern w:val="0"/>
                <w:sz w:val="24"/>
                <w:szCs w:val="24"/>
                <w:highlight w:val="none"/>
                <w:u w:color="000000"/>
              </w:rPr>
            </w:pPr>
            <w:r>
              <w:rPr>
                <w:rFonts w:hint="eastAsia" w:ascii="Times New Roman" w:hAnsi="Times New Roman"/>
                <w:color w:val="auto"/>
                <w:kern w:val="0"/>
                <w:sz w:val="24"/>
                <w:szCs w:val="24"/>
                <w:highlight w:val="none"/>
                <w:u w:color="000000"/>
              </w:rPr>
              <w:t>资格评审标准</w:t>
            </w:r>
          </w:p>
        </w:tc>
        <w:tc>
          <w:tcPr>
            <w:tcW w:w="3985" w:type="dxa"/>
            <w:vAlign w:val="center"/>
          </w:tcPr>
          <w:p w14:paraId="3F311587">
            <w:pPr>
              <w:spacing w:line="360" w:lineRule="auto"/>
              <w:jc w:val="center"/>
              <w:textAlignment w:val="baseline"/>
              <w:rPr>
                <w:rFonts w:ascii="Times New Roman" w:hAnsi="Times New Roman"/>
                <w:color w:val="auto"/>
                <w:kern w:val="0"/>
                <w:sz w:val="24"/>
                <w:szCs w:val="24"/>
                <w:highlight w:val="none"/>
                <w:u w:color="000000"/>
              </w:rPr>
            </w:pPr>
            <w:r>
              <w:rPr>
                <w:rFonts w:hint="eastAsia" w:ascii="Times New Roman" w:hAnsi="Times New Roman"/>
                <w:color w:val="auto"/>
                <w:sz w:val="24"/>
                <w:szCs w:val="24"/>
                <w:highlight w:val="none"/>
                <w:shd w:val="clear" w:color="auto" w:fill="FFFFFF"/>
                <w:lang w:bidi="ar"/>
              </w:rPr>
              <w:t>满足《中华人民共和国政府采购法》第二十二条规定</w:t>
            </w:r>
          </w:p>
        </w:tc>
        <w:tc>
          <w:tcPr>
            <w:tcW w:w="3613" w:type="dxa"/>
            <w:vAlign w:val="center"/>
          </w:tcPr>
          <w:p w14:paraId="448AB911">
            <w:pPr>
              <w:widowControl/>
              <w:autoSpaceDE w:val="0"/>
              <w:autoSpaceDN w:val="0"/>
              <w:adjustRightInd w:val="0"/>
              <w:spacing w:line="360" w:lineRule="auto"/>
              <w:jc w:val="left"/>
              <w:rPr>
                <w:rFonts w:ascii="Times New Roman" w:hAnsi="Times New Roman"/>
                <w:color w:val="auto"/>
                <w:kern w:val="0"/>
                <w:sz w:val="24"/>
                <w:szCs w:val="24"/>
                <w:highlight w:val="none"/>
                <w:u w:color="000000"/>
              </w:rPr>
            </w:pPr>
            <w:r>
              <w:rPr>
                <w:rFonts w:hint="eastAsia" w:ascii="Times New Roman" w:hAnsi="Times New Roman"/>
                <w:color w:val="auto"/>
                <w:sz w:val="24"/>
                <w:highlight w:val="none"/>
              </w:rPr>
              <w:t>自行作出承诺，格式自拟</w:t>
            </w:r>
          </w:p>
        </w:tc>
      </w:tr>
      <w:tr w14:paraId="73499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710" w:type="dxa"/>
            <w:vMerge w:val="continue"/>
            <w:vAlign w:val="center"/>
          </w:tcPr>
          <w:p w14:paraId="169DE85A">
            <w:pPr>
              <w:snapToGrid w:val="0"/>
              <w:spacing w:before="102" w:after="102" w:line="360" w:lineRule="auto"/>
              <w:jc w:val="center"/>
              <w:rPr>
                <w:rFonts w:ascii="Times New Roman" w:hAnsi="Times New Roman"/>
                <w:color w:val="auto"/>
                <w:kern w:val="0"/>
                <w:sz w:val="24"/>
                <w:szCs w:val="24"/>
                <w:highlight w:val="none"/>
                <w:u w:color="000000"/>
              </w:rPr>
            </w:pPr>
          </w:p>
        </w:tc>
        <w:tc>
          <w:tcPr>
            <w:tcW w:w="970" w:type="dxa"/>
            <w:vMerge w:val="continue"/>
            <w:vAlign w:val="center"/>
          </w:tcPr>
          <w:p w14:paraId="394EFC77">
            <w:pPr>
              <w:snapToGrid w:val="0"/>
              <w:spacing w:before="102" w:after="102" w:line="360" w:lineRule="auto"/>
              <w:jc w:val="center"/>
              <w:rPr>
                <w:rFonts w:ascii="Times New Roman" w:hAnsi="Times New Roman"/>
                <w:color w:val="auto"/>
                <w:kern w:val="0"/>
                <w:sz w:val="24"/>
                <w:szCs w:val="24"/>
                <w:highlight w:val="none"/>
                <w:u w:color="000000"/>
              </w:rPr>
            </w:pPr>
          </w:p>
        </w:tc>
        <w:tc>
          <w:tcPr>
            <w:tcW w:w="3985" w:type="dxa"/>
            <w:vAlign w:val="center"/>
          </w:tcPr>
          <w:p w14:paraId="358A559E">
            <w:pPr>
              <w:spacing w:line="360" w:lineRule="auto"/>
              <w:jc w:val="center"/>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具有有效的营业执照、税务登记证、组织机构代码证（或三证合一的营业执照）</w:t>
            </w:r>
          </w:p>
        </w:tc>
        <w:tc>
          <w:tcPr>
            <w:tcW w:w="3613" w:type="dxa"/>
            <w:vAlign w:val="center"/>
          </w:tcPr>
          <w:p w14:paraId="5E54C9A2">
            <w:pPr>
              <w:widowControl/>
              <w:autoSpaceDE w:val="0"/>
              <w:autoSpaceDN w:val="0"/>
              <w:adjustRightInd w:val="0"/>
              <w:spacing w:line="360" w:lineRule="auto"/>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供应商应具有合法有效的营业执照（可使用电子营业执照）</w:t>
            </w:r>
          </w:p>
        </w:tc>
      </w:tr>
      <w:tr w14:paraId="3E302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10" w:type="dxa"/>
            <w:vMerge w:val="continue"/>
            <w:vAlign w:val="center"/>
          </w:tcPr>
          <w:p w14:paraId="4EF64DB9">
            <w:pPr>
              <w:snapToGrid w:val="0"/>
              <w:spacing w:before="102" w:after="102" w:line="360" w:lineRule="auto"/>
              <w:jc w:val="center"/>
              <w:rPr>
                <w:rFonts w:ascii="Times New Roman" w:hAnsi="Times New Roman"/>
                <w:color w:val="auto"/>
                <w:kern w:val="0"/>
                <w:sz w:val="24"/>
                <w:szCs w:val="24"/>
                <w:highlight w:val="none"/>
                <w:u w:color="000000"/>
              </w:rPr>
            </w:pPr>
          </w:p>
        </w:tc>
        <w:tc>
          <w:tcPr>
            <w:tcW w:w="970" w:type="dxa"/>
            <w:vMerge w:val="continue"/>
            <w:vAlign w:val="center"/>
          </w:tcPr>
          <w:p w14:paraId="7C35850F">
            <w:pPr>
              <w:snapToGrid w:val="0"/>
              <w:spacing w:before="102" w:after="102" w:line="360" w:lineRule="auto"/>
              <w:jc w:val="center"/>
              <w:rPr>
                <w:rFonts w:ascii="Times New Roman" w:hAnsi="Times New Roman"/>
                <w:color w:val="auto"/>
                <w:kern w:val="0"/>
                <w:sz w:val="24"/>
                <w:szCs w:val="24"/>
                <w:highlight w:val="none"/>
                <w:u w:color="000000"/>
              </w:rPr>
            </w:pPr>
          </w:p>
        </w:tc>
        <w:tc>
          <w:tcPr>
            <w:tcW w:w="3985" w:type="dxa"/>
            <w:vAlign w:val="center"/>
          </w:tcPr>
          <w:p w14:paraId="717D17AA">
            <w:pPr>
              <w:spacing w:line="360" w:lineRule="auto"/>
              <w:jc w:val="center"/>
              <w:textAlignment w:val="baseline"/>
              <w:rPr>
                <w:rFonts w:ascii="Times New Roman" w:hAnsi="Times New Roman"/>
                <w:color w:val="auto"/>
                <w:kern w:val="0"/>
                <w:sz w:val="24"/>
                <w:szCs w:val="24"/>
                <w:highlight w:val="none"/>
                <w:u w:color="000000"/>
              </w:rPr>
            </w:pPr>
            <w:r>
              <w:rPr>
                <w:rFonts w:hint="eastAsia" w:ascii="Times New Roman" w:hAnsi="Times New Roman"/>
                <w:color w:val="auto"/>
                <w:kern w:val="0"/>
                <w:sz w:val="24"/>
                <w:szCs w:val="24"/>
                <w:highlight w:val="none"/>
                <w:u w:color="000000"/>
              </w:rPr>
              <w:t>在人员、资金、设备及专业技术等方面具有与本项目相匹配的合同履约能力</w:t>
            </w:r>
          </w:p>
        </w:tc>
        <w:tc>
          <w:tcPr>
            <w:tcW w:w="3613" w:type="dxa"/>
            <w:vAlign w:val="center"/>
          </w:tcPr>
          <w:p w14:paraId="1C7A98BD">
            <w:pPr>
              <w:widowControl/>
              <w:autoSpaceDE w:val="0"/>
              <w:autoSpaceDN w:val="0"/>
              <w:adjustRightInd w:val="0"/>
              <w:spacing w:line="360" w:lineRule="auto"/>
              <w:jc w:val="left"/>
              <w:rPr>
                <w:rFonts w:ascii="Times New Roman" w:hAnsi="Times New Roman"/>
                <w:color w:val="auto"/>
                <w:kern w:val="0"/>
                <w:sz w:val="24"/>
                <w:szCs w:val="24"/>
                <w:highlight w:val="none"/>
                <w:u w:color="000000"/>
              </w:rPr>
            </w:pPr>
            <w:r>
              <w:rPr>
                <w:rFonts w:hint="eastAsia" w:ascii="Times New Roman" w:hAnsi="Times New Roman"/>
                <w:color w:val="auto"/>
                <w:sz w:val="24"/>
                <w:szCs w:val="28"/>
                <w:highlight w:val="none"/>
              </w:rPr>
              <w:t>自行作出承诺，格式自拟</w:t>
            </w:r>
          </w:p>
        </w:tc>
      </w:tr>
      <w:tr w14:paraId="0D6D6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10" w:type="dxa"/>
            <w:vMerge w:val="continue"/>
            <w:vAlign w:val="center"/>
          </w:tcPr>
          <w:p w14:paraId="784CCBB2">
            <w:pPr>
              <w:snapToGrid w:val="0"/>
              <w:spacing w:before="102" w:after="102" w:line="360" w:lineRule="auto"/>
              <w:jc w:val="center"/>
              <w:rPr>
                <w:rFonts w:ascii="Times New Roman" w:hAnsi="Times New Roman"/>
                <w:color w:val="auto"/>
                <w:kern w:val="0"/>
                <w:sz w:val="24"/>
                <w:szCs w:val="24"/>
                <w:highlight w:val="none"/>
                <w:u w:color="000000"/>
              </w:rPr>
            </w:pPr>
          </w:p>
        </w:tc>
        <w:tc>
          <w:tcPr>
            <w:tcW w:w="970" w:type="dxa"/>
            <w:vMerge w:val="continue"/>
            <w:vAlign w:val="center"/>
          </w:tcPr>
          <w:p w14:paraId="7719C826">
            <w:pPr>
              <w:snapToGrid w:val="0"/>
              <w:spacing w:before="102" w:after="102" w:line="360" w:lineRule="auto"/>
              <w:jc w:val="center"/>
              <w:rPr>
                <w:rFonts w:ascii="Times New Roman" w:hAnsi="Times New Roman"/>
                <w:color w:val="auto"/>
                <w:kern w:val="0"/>
                <w:sz w:val="24"/>
                <w:szCs w:val="24"/>
                <w:highlight w:val="none"/>
                <w:u w:color="000000"/>
              </w:rPr>
            </w:pPr>
          </w:p>
        </w:tc>
        <w:tc>
          <w:tcPr>
            <w:tcW w:w="3985" w:type="dxa"/>
            <w:vAlign w:val="center"/>
          </w:tcPr>
          <w:p w14:paraId="5DC558AF">
            <w:pPr>
              <w:spacing w:line="360" w:lineRule="auto"/>
              <w:jc w:val="center"/>
              <w:textAlignment w:val="baseline"/>
              <w:rPr>
                <w:rFonts w:ascii="Times New Roman" w:hAnsi="Times New Roman"/>
                <w:color w:val="auto"/>
                <w:kern w:val="0"/>
                <w:sz w:val="24"/>
                <w:szCs w:val="24"/>
                <w:highlight w:val="none"/>
                <w:u w:color="000000"/>
              </w:rPr>
            </w:pPr>
            <w:r>
              <w:rPr>
                <w:rFonts w:hint="eastAsia" w:ascii="Times New Roman" w:hAnsi="Times New Roman"/>
                <w:color w:val="auto"/>
                <w:sz w:val="24"/>
                <w:szCs w:val="24"/>
                <w:highlight w:val="none"/>
              </w:rPr>
              <w:t>供应商须承诺本企业无商业贿赂及不正当竞争行为的承诺书</w:t>
            </w:r>
          </w:p>
        </w:tc>
        <w:tc>
          <w:tcPr>
            <w:tcW w:w="3613" w:type="dxa"/>
            <w:vAlign w:val="center"/>
          </w:tcPr>
          <w:p w14:paraId="3F282BFD">
            <w:pPr>
              <w:pStyle w:val="11"/>
              <w:spacing w:after="0"/>
              <w:ind w:firstLine="0"/>
              <w:jc w:val="left"/>
              <w:rPr>
                <w:rFonts w:ascii="Times New Roman" w:hAnsi="Times New Roman" w:eastAsia="宋体"/>
                <w:color w:val="auto"/>
                <w:kern w:val="2"/>
                <w:sz w:val="24"/>
                <w:szCs w:val="24"/>
                <w:highlight w:val="none"/>
              </w:rPr>
            </w:pPr>
            <w:r>
              <w:rPr>
                <w:rFonts w:hint="eastAsia" w:ascii="Times New Roman" w:hAnsi="Times New Roman" w:eastAsia="宋体"/>
                <w:color w:val="auto"/>
                <w:sz w:val="24"/>
                <w:highlight w:val="none"/>
              </w:rPr>
              <w:t>自行作出承诺，格式自拟</w:t>
            </w:r>
          </w:p>
        </w:tc>
      </w:tr>
      <w:tr w14:paraId="20098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10" w:type="dxa"/>
            <w:vMerge w:val="continue"/>
            <w:vAlign w:val="center"/>
          </w:tcPr>
          <w:p w14:paraId="6EDAC8D0">
            <w:pPr>
              <w:snapToGrid w:val="0"/>
              <w:spacing w:before="102" w:after="102" w:line="360" w:lineRule="auto"/>
              <w:jc w:val="center"/>
              <w:rPr>
                <w:rFonts w:ascii="Times New Roman" w:hAnsi="Times New Roman"/>
                <w:color w:val="auto"/>
                <w:kern w:val="0"/>
                <w:sz w:val="24"/>
                <w:szCs w:val="24"/>
                <w:highlight w:val="none"/>
                <w:u w:color="000000"/>
              </w:rPr>
            </w:pPr>
          </w:p>
        </w:tc>
        <w:tc>
          <w:tcPr>
            <w:tcW w:w="970" w:type="dxa"/>
            <w:vMerge w:val="continue"/>
            <w:vAlign w:val="center"/>
          </w:tcPr>
          <w:p w14:paraId="444A9A36">
            <w:pPr>
              <w:snapToGrid w:val="0"/>
              <w:spacing w:before="102" w:after="102" w:line="360" w:lineRule="auto"/>
              <w:jc w:val="center"/>
              <w:rPr>
                <w:rFonts w:ascii="Times New Roman" w:hAnsi="Times New Roman"/>
                <w:color w:val="auto"/>
                <w:kern w:val="0"/>
                <w:sz w:val="24"/>
                <w:szCs w:val="24"/>
                <w:highlight w:val="none"/>
                <w:u w:color="000000"/>
              </w:rPr>
            </w:pPr>
          </w:p>
        </w:tc>
        <w:tc>
          <w:tcPr>
            <w:tcW w:w="3985" w:type="dxa"/>
            <w:vAlign w:val="center"/>
          </w:tcPr>
          <w:p w14:paraId="7814E2D7">
            <w:pPr>
              <w:spacing w:line="360" w:lineRule="auto"/>
              <w:jc w:val="center"/>
              <w:textAlignment w:val="baseline"/>
              <w:rPr>
                <w:rFonts w:ascii="Times New Roman" w:hAnsi="Times New Roman"/>
                <w:color w:val="auto"/>
                <w:kern w:val="0"/>
                <w:sz w:val="24"/>
                <w:szCs w:val="24"/>
                <w:highlight w:val="none"/>
                <w:u w:color="000000"/>
              </w:rPr>
            </w:pPr>
            <w:r>
              <w:rPr>
                <w:rFonts w:hint="eastAsia" w:ascii="Times New Roman" w:hAnsi="Times New Roman"/>
                <w:color w:val="auto"/>
                <w:sz w:val="24"/>
                <w:szCs w:val="24"/>
                <w:highlight w:val="none"/>
              </w:rPr>
              <w:t>参加政府采购活动近三年内，在经营活动中没有重大违法记录</w:t>
            </w:r>
          </w:p>
        </w:tc>
        <w:tc>
          <w:tcPr>
            <w:tcW w:w="3613" w:type="dxa"/>
            <w:vAlign w:val="center"/>
          </w:tcPr>
          <w:p w14:paraId="75E8B4B8">
            <w:pPr>
              <w:pStyle w:val="11"/>
              <w:spacing w:after="0"/>
              <w:ind w:firstLine="0"/>
              <w:jc w:val="left"/>
              <w:rPr>
                <w:rFonts w:ascii="Times New Roman" w:hAnsi="Times New Roman" w:eastAsia="宋体"/>
                <w:color w:val="auto"/>
                <w:kern w:val="2"/>
                <w:sz w:val="24"/>
                <w:szCs w:val="24"/>
                <w:highlight w:val="none"/>
              </w:rPr>
            </w:pPr>
            <w:r>
              <w:rPr>
                <w:rFonts w:hint="eastAsia" w:ascii="Times New Roman" w:hAnsi="Times New Roman" w:eastAsia="宋体"/>
                <w:color w:val="auto"/>
                <w:sz w:val="24"/>
                <w:highlight w:val="none"/>
              </w:rPr>
              <w:t>自行作出承诺，格式自拟</w:t>
            </w:r>
          </w:p>
        </w:tc>
      </w:tr>
      <w:tr w14:paraId="07F7F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10" w:type="dxa"/>
            <w:vMerge w:val="continue"/>
            <w:vAlign w:val="center"/>
          </w:tcPr>
          <w:p w14:paraId="7CD4C1FB">
            <w:pPr>
              <w:snapToGrid w:val="0"/>
              <w:spacing w:before="102" w:after="102" w:line="360" w:lineRule="auto"/>
              <w:jc w:val="center"/>
              <w:rPr>
                <w:rFonts w:ascii="Times New Roman" w:hAnsi="Times New Roman"/>
                <w:color w:val="auto"/>
                <w:kern w:val="0"/>
                <w:sz w:val="24"/>
                <w:szCs w:val="24"/>
                <w:highlight w:val="none"/>
                <w:u w:color="000000"/>
              </w:rPr>
            </w:pPr>
          </w:p>
        </w:tc>
        <w:tc>
          <w:tcPr>
            <w:tcW w:w="970" w:type="dxa"/>
            <w:vMerge w:val="continue"/>
            <w:vAlign w:val="center"/>
          </w:tcPr>
          <w:p w14:paraId="7C189C19">
            <w:pPr>
              <w:snapToGrid w:val="0"/>
              <w:spacing w:before="102" w:after="102" w:line="360" w:lineRule="auto"/>
              <w:jc w:val="center"/>
              <w:rPr>
                <w:rFonts w:ascii="Times New Roman" w:hAnsi="Times New Roman"/>
                <w:color w:val="auto"/>
                <w:kern w:val="0"/>
                <w:sz w:val="24"/>
                <w:szCs w:val="24"/>
                <w:highlight w:val="none"/>
                <w:u w:color="000000"/>
              </w:rPr>
            </w:pPr>
          </w:p>
        </w:tc>
        <w:tc>
          <w:tcPr>
            <w:tcW w:w="3985" w:type="dxa"/>
            <w:vAlign w:val="center"/>
          </w:tcPr>
          <w:p w14:paraId="1538447C">
            <w:pPr>
              <w:spacing w:line="360" w:lineRule="auto"/>
              <w:jc w:val="center"/>
              <w:textAlignment w:val="baseline"/>
              <w:rPr>
                <w:rFonts w:hint="eastAsia" w:ascii="Times New Roman" w:hAnsi="Times New Roman" w:eastAsia="宋体"/>
                <w:color w:val="auto"/>
                <w:sz w:val="24"/>
                <w:szCs w:val="24"/>
                <w:highlight w:val="none"/>
                <w:lang w:eastAsia="zh-CN"/>
              </w:rPr>
            </w:pPr>
            <w:r>
              <w:rPr>
                <w:rFonts w:hint="eastAsia" w:ascii="Times New Roman" w:hAnsi="Times New Roman"/>
                <w:color w:val="auto"/>
                <w:sz w:val="24"/>
                <w:szCs w:val="24"/>
                <w:highlight w:val="none"/>
                <w:lang w:val="en-US" w:eastAsia="zh-CN"/>
              </w:rPr>
              <w:t>信用查询</w:t>
            </w:r>
          </w:p>
        </w:tc>
        <w:tc>
          <w:tcPr>
            <w:tcW w:w="3613" w:type="dxa"/>
            <w:vAlign w:val="center"/>
          </w:tcPr>
          <w:p w14:paraId="4490251E">
            <w:pPr>
              <w:pStyle w:val="11"/>
              <w:spacing w:after="0"/>
              <w:ind w:firstLine="0"/>
              <w:jc w:val="left"/>
              <w:rPr>
                <w:rFonts w:ascii="Times New Roman" w:hAnsi="Times New Roman" w:eastAsia="宋体"/>
                <w:color w:val="auto"/>
                <w:sz w:val="24"/>
                <w:highlight w:val="none"/>
              </w:rPr>
            </w:pPr>
            <w:r>
              <w:rPr>
                <w:rFonts w:hint="eastAsia" w:ascii="Times New Roman" w:hAnsi="Times New Roman" w:eastAsia="宋体"/>
                <w:color w:val="auto"/>
                <w:sz w:val="24"/>
                <w:highlight w:val="none"/>
              </w:rPr>
              <w:t>提供“中国执行信息公开网”、“信用中国”和“中国政府采购网”网站的查询信息截图，查询日期自公告发布之日起至响应文件递交截止时间前</w:t>
            </w:r>
          </w:p>
        </w:tc>
      </w:tr>
      <w:tr w14:paraId="17128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10" w:type="dxa"/>
            <w:vMerge w:val="continue"/>
            <w:vAlign w:val="center"/>
          </w:tcPr>
          <w:p w14:paraId="734E38FB">
            <w:pPr>
              <w:snapToGrid w:val="0"/>
              <w:spacing w:before="102" w:after="102" w:line="360" w:lineRule="auto"/>
              <w:jc w:val="center"/>
              <w:rPr>
                <w:rFonts w:ascii="Times New Roman" w:hAnsi="Times New Roman"/>
                <w:color w:val="auto"/>
                <w:kern w:val="0"/>
                <w:sz w:val="24"/>
                <w:szCs w:val="24"/>
                <w:highlight w:val="none"/>
                <w:u w:color="000000"/>
              </w:rPr>
            </w:pPr>
          </w:p>
        </w:tc>
        <w:tc>
          <w:tcPr>
            <w:tcW w:w="970" w:type="dxa"/>
            <w:vMerge w:val="continue"/>
            <w:vAlign w:val="center"/>
          </w:tcPr>
          <w:p w14:paraId="31D107DC">
            <w:pPr>
              <w:snapToGrid w:val="0"/>
              <w:spacing w:before="102" w:after="102" w:line="360" w:lineRule="auto"/>
              <w:jc w:val="center"/>
              <w:rPr>
                <w:rFonts w:ascii="Times New Roman" w:hAnsi="Times New Roman"/>
                <w:color w:val="auto"/>
                <w:kern w:val="0"/>
                <w:sz w:val="24"/>
                <w:szCs w:val="24"/>
                <w:highlight w:val="none"/>
                <w:u w:color="000000"/>
              </w:rPr>
            </w:pPr>
          </w:p>
        </w:tc>
        <w:tc>
          <w:tcPr>
            <w:tcW w:w="3985" w:type="dxa"/>
            <w:vAlign w:val="center"/>
          </w:tcPr>
          <w:p w14:paraId="3DF80DAA">
            <w:pPr>
              <w:spacing w:line="360" w:lineRule="auto"/>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单位负责人为同一人或者存在直接控股、管理关系的不同供应商，不得参加同一合同项下的政府采购活动</w:t>
            </w:r>
          </w:p>
        </w:tc>
        <w:tc>
          <w:tcPr>
            <w:tcW w:w="3613" w:type="dxa"/>
            <w:vAlign w:val="center"/>
          </w:tcPr>
          <w:p w14:paraId="74EE976F">
            <w:pPr>
              <w:spacing w:line="360" w:lineRule="auto"/>
              <w:jc w:val="left"/>
              <w:rPr>
                <w:rFonts w:ascii="Times New Roman" w:hAnsi="Times New Roman"/>
                <w:color w:val="auto"/>
                <w:sz w:val="24"/>
                <w:szCs w:val="28"/>
                <w:highlight w:val="none"/>
              </w:rPr>
            </w:pPr>
            <w:r>
              <w:rPr>
                <w:rFonts w:hint="eastAsia" w:ascii="Times New Roman" w:hAnsi="Times New Roman"/>
                <w:color w:val="auto"/>
                <w:sz w:val="24"/>
                <w:szCs w:val="24"/>
                <w:highlight w:val="none"/>
              </w:rPr>
              <w:t>详见第一章“招标公告”要求</w:t>
            </w:r>
          </w:p>
        </w:tc>
      </w:tr>
      <w:tr w14:paraId="03B74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10" w:type="dxa"/>
            <w:vMerge w:val="continue"/>
            <w:vAlign w:val="center"/>
          </w:tcPr>
          <w:p w14:paraId="699F3C4C">
            <w:pPr>
              <w:snapToGrid w:val="0"/>
              <w:spacing w:before="102" w:after="102" w:line="360" w:lineRule="auto"/>
              <w:jc w:val="center"/>
              <w:rPr>
                <w:rFonts w:ascii="Times New Roman" w:hAnsi="Times New Roman"/>
                <w:color w:val="auto"/>
                <w:kern w:val="0"/>
                <w:sz w:val="24"/>
                <w:szCs w:val="24"/>
                <w:highlight w:val="none"/>
                <w:u w:color="000000"/>
              </w:rPr>
            </w:pPr>
          </w:p>
        </w:tc>
        <w:tc>
          <w:tcPr>
            <w:tcW w:w="970" w:type="dxa"/>
            <w:vMerge w:val="continue"/>
            <w:vAlign w:val="center"/>
          </w:tcPr>
          <w:p w14:paraId="11B13660">
            <w:pPr>
              <w:snapToGrid w:val="0"/>
              <w:spacing w:before="102" w:after="102" w:line="360" w:lineRule="auto"/>
              <w:jc w:val="center"/>
              <w:rPr>
                <w:rFonts w:ascii="Times New Roman" w:hAnsi="Times New Roman"/>
                <w:color w:val="auto"/>
                <w:kern w:val="0"/>
                <w:sz w:val="24"/>
                <w:szCs w:val="24"/>
                <w:highlight w:val="none"/>
                <w:u w:color="000000"/>
              </w:rPr>
            </w:pPr>
          </w:p>
        </w:tc>
        <w:tc>
          <w:tcPr>
            <w:tcW w:w="3985" w:type="dxa"/>
            <w:vAlign w:val="center"/>
          </w:tcPr>
          <w:p w14:paraId="29814415">
            <w:pPr>
              <w:spacing w:line="360" w:lineRule="auto"/>
              <w:jc w:val="center"/>
              <w:textAlignment w:val="baseline"/>
              <w:rPr>
                <w:rFonts w:ascii="Times New Roman" w:hAnsi="Times New Roman"/>
                <w:color w:val="auto"/>
                <w:sz w:val="24"/>
                <w:szCs w:val="24"/>
                <w:highlight w:val="none"/>
              </w:rPr>
            </w:pPr>
            <w:r>
              <w:rPr>
                <w:rFonts w:hint="eastAsia" w:ascii="Times New Roman" w:hAnsi="Times New Roman"/>
                <w:color w:val="auto"/>
                <w:sz w:val="24"/>
                <w:szCs w:val="28"/>
                <w:highlight w:val="none"/>
              </w:rPr>
              <w:t>本项目不允许联合体投标</w:t>
            </w:r>
          </w:p>
        </w:tc>
        <w:tc>
          <w:tcPr>
            <w:tcW w:w="3613" w:type="dxa"/>
            <w:vAlign w:val="center"/>
          </w:tcPr>
          <w:p w14:paraId="070A6DE7">
            <w:pPr>
              <w:pStyle w:val="11"/>
              <w:spacing w:after="0"/>
              <w:ind w:firstLine="0"/>
              <w:jc w:val="left"/>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不存在联合体投标，提供非联合体投标声明书</w:t>
            </w:r>
          </w:p>
        </w:tc>
      </w:tr>
      <w:tr w14:paraId="317A5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vMerge w:val="restart"/>
            <w:vAlign w:val="center"/>
          </w:tcPr>
          <w:p w14:paraId="54E6B117">
            <w:pPr>
              <w:snapToGrid w:val="0"/>
              <w:spacing w:before="102" w:after="102" w:line="360" w:lineRule="auto"/>
              <w:jc w:val="center"/>
              <w:rPr>
                <w:rFonts w:ascii="Times New Roman" w:hAnsi="Times New Roman"/>
                <w:color w:val="auto"/>
                <w:kern w:val="0"/>
                <w:sz w:val="24"/>
                <w:szCs w:val="24"/>
                <w:highlight w:val="none"/>
                <w:u w:color="000000"/>
              </w:rPr>
            </w:pPr>
            <w:r>
              <w:rPr>
                <w:rFonts w:ascii="Times New Roman" w:hAnsi="Times New Roman"/>
                <w:color w:val="auto"/>
                <w:kern w:val="0"/>
                <w:sz w:val="24"/>
                <w:szCs w:val="24"/>
                <w:highlight w:val="none"/>
                <w:u w:color="000000"/>
              </w:rPr>
              <w:t>3.3</w:t>
            </w:r>
          </w:p>
        </w:tc>
        <w:tc>
          <w:tcPr>
            <w:tcW w:w="970" w:type="dxa"/>
            <w:vMerge w:val="restart"/>
            <w:vAlign w:val="center"/>
          </w:tcPr>
          <w:p w14:paraId="77A34141">
            <w:pPr>
              <w:snapToGrid w:val="0"/>
              <w:spacing w:before="102" w:after="102" w:line="360" w:lineRule="auto"/>
              <w:jc w:val="center"/>
              <w:rPr>
                <w:rFonts w:ascii="Times New Roman" w:hAnsi="Times New Roman"/>
                <w:color w:val="auto"/>
                <w:kern w:val="0"/>
                <w:sz w:val="24"/>
                <w:szCs w:val="24"/>
                <w:highlight w:val="none"/>
                <w:u w:color="000000"/>
              </w:rPr>
            </w:pPr>
            <w:r>
              <w:rPr>
                <w:rFonts w:hint="eastAsia" w:ascii="Times New Roman" w:hAnsi="Times New Roman"/>
                <w:color w:val="auto"/>
                <w:kern w:val="0"/>
                <w:sz w:val="24"/>
                <w:szCs w:val="28"/>
                <w:highlight w:val="none"/>
              </w:rPr>
              <w:t>响应性评审标准</w:t>
            </w:r>
          </w:p>
        </w:tc>
        <w:tc>
          <w:tcPr>
            <w:tcW w:w="3985" w:type="dxa"/>
            <w:vAlign w:val="center"/>
          </w:tcPr>
          <w:p w14:paraId="393713D2">
            <w:pPr>
              <w:widowControl/>
              <w:autoSpaceDE w:val="0"/>
              <w:autoSpaceDN w:val="0"/>
              <w:adjustRightInd w:val="0"/>
              <w:spacing w:line="360" w:lineRule="auto"/>
              <w:jc w:val="center"/>
              <w:rPr>
                <w:rFonts w:ascii="Times New Roman" w:hAnsi="Times New Roman"/>
                <w:color w:val="auto"/>
                <w:sz w:val="24"/>
                <w:szCs w:val="24"/>
                <w:highlight w:val="none"/>
              </w:rPr>
            </w:pPr>
            <w:r>
              <w:rPr>
                <w:rFonts w:hint="eastAsia" w:ascii="Times New Roman" w:hAnsi="Times New Roman"/>
                <w:color w:val="auto"/>
                <w:kern w:val="0"/>
                <w:sz w:val="24"/>
                <w:szCs w:val="24"/>
                <w:highlight w:val="none"/>
              </w:rPr>
              <w:t>投标有效期</w:t>
            </w:r>
          </w:p>
        </w:tc>
        <w:tc>
          <w:tcPr>
            <w:tcW w:w="3613" w:type="dxa"/>
            <w:vAlign w:val="center"/>
          </w:tcPr>
          <w:p w14:paraId="52916E4F">
            <w:pPr>
              <w:widowControl/>
              <w:snapToGrid w:val="0"/>
              <w:spacing w:line="360" w:lineRule="auto"/>
              <w:jc w:val="center"/>
              <w:textAlignment w:val="baseline"/>
              <w:rPr>
                <w:rFonts w:ascii="Times New Roman" w:hAnsi="Times New Roman"/>
                <w:color w:val="auto"/>
                <w:sz w:val="24"/>
                <w:szCs w:val="24"/>
                <w:highlight w:val="none"/>
                <w:u w:color="000000"/>
              </w:rPr>
            </w:pPr>
            <w:r>
              <w:rPr>
                <w:rFonts w:hint="eastAsia" w:ascii="Times New Roman" w:hAnsi="Times New Roman"/>
                <w:color w:val="auto"/>
                <w:sz w:val="24"/>
                <w:szCs w:val="24"/>
                <w:highlight w:val="none"/>
                <w:u w:color="000000"/>
              </w:rPr>
              <w:t>投标文件递交截止之日起90天</w:t>
            </w:r>
          </w:p>
        </w:tc>
      </w:tr>
      <w:tr w14:paraId="14B54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10" w:type="dxa"/>
            <w:vMerge w:val="continue"/>
            <w:vAlign w:val="center"/>
          </w:tcPr>
          <w:p w14:paraId="4F3A2F9A">
            <w:pPr>
              <w:snapToGrid w:val="0"/>
              <w:spacing w:before="102" w:after="102" w:line="360" w:lineRule="auto"/>
              <w:jc w:val="center"/>
              <w:rPr>
                <w:rFonts w:ascii="Times New Roman" w:hAnsi="Times New Roman"/>
                <w:color w:val="auto"/>
                <w:kern w:val="0"/>
                <w:sz w:val="24"/>
                <w:szCs w:val="24"/>
                <w:highlight w:val="none"/>
                <w:u w:color="000000"/>
              </w:rPr>
            </w:pPr>
          </w:p>
        </w:tc>
        <w:tc>
          <w:tcPr>
            <w:tcW w:w="970" w:type="dxa"/>
            <w:vMerge w:val="continue"/>
            <w:vAlign w:val="center"/>
          </w:tcPr>
          <w:p w14:paraId="1052ADBB">
            <w:pPr>
              <w:snapToGrid w:val="0"/>
              <w:spacing w:before="102" w:after="102" w:line="360" w:lineRule="auto"/>
              <w:jc w:val="center"/>
              <w:rPr>
                <w:rFonts w:ascii="Times New Roman" w:hAnsi="Times New Roman"/>
                <w:color w:val="auto"/>
                <w:kern w:val="0"/>
                <w:sz w:val="24"/>
                <w:szCs w:val="24"/>
                <w:highlight w:val="none"/>
                <w:u w:color="000000"/>
              </w:rPr>
            </w:pPr>
          </w:p>
        </w:tc>
        <w:tc>
          <w:tcPr>
            <w:tcW w:w="3985" w:type="dxa"/>
            <w:vAlign w:val="center"/>
          </w:tcPr>
          <w:p w14:paraId="31F5A17F">
            <w:pPr>
              <w:widowControl/>
              <w:autoSpaceDE w:val="0"/>
              <w:autoSpaceDN w:val="0"/>
              <w:adjustRightInd w:val="0"/>
              <w:spacing w:line="360" w:lineRule="auto"/>
              <w:jc w:val="center"/>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交货期</w:t>
            </w:r>
          </w:p>
        </w:tc>
        <w:tc>
          <w:tcPr>
            <w:tcW w:w="3613" w:type="dxa"/>
            <w:vAlign w:val="center"/>
          </w:tcPr>
          <w:p w14:paraId="2CC0E36A">
            <w:pPr>
              <w:autoSpaceDE w:val="0"/>
              <w:autoSpaceDN w:val="0"/>
              <w:adjustRightInd w:val="0"/>
              <w:spacing w:line="360" w:lineRule="auto"/>
              <w:jc w:val="center"/>
              <w:rPr>
                <w:rFonts w:ascii="Times New Roman" w:hAnsi="Times New Roman"/>
                <w:color w:val="auto"/>
                <w:kern w:val="0"/>
                <w:sz w:val="24"/>
                <w:szCs w:val="24"/>
                <w:highlight w:val="none"/>
              </w:rPr>
            </w:pPr>
            <w:r>
              <w:rPr>
                <w:rFonts w:hint="eastAsia" w:ascii="Times New Roman" w:hAnsi="Times New Roman"/>
                <w:color w:val="auto"/>
                <w:sz w:val="24"/>
                <w:szCs w:val="24"/>
                <w:highlight w:val="none"/>
              </w:rPr>
              <w:t>详见第一章“招标公告”要求</w:t>
            </w:r>
          </w:p>
        </w:tc>
      </w:tr>
      <w:tr w14:paraId="13385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10" w:type="dxa"/>
            <w:vMerge w:val="continue"/>
            <w:vAlign w:val="center"/>
          </w:tcPr>
          <w:p w14:paraId="07A3E9D4">
            <w:pPr>
              <w:snapToGrid w:val="0"/>
              <w:spacing w:before="102" w:after="102" w:line="360" w:lineRule="auto"/>
              <w:jc w:val="center"/>
              <w:rPr>
                <w:rFonts w:ascii="Times New Roman" w:hAnsi="Times New Roman"/>
                <w:color w:val="auto"/>
                <w:kern w:val="0"/>
                <w:sz w:val="24"/>
                <w:szCs w:val="24"/>
                <w:highlight w:val="none"/>
                <w:u w:color="000000"/>
              </w:rPr>
            </w:pPr>
          </w:p>
        </w:tc>
        <w:tc>
          <w:tcPr>
            <w:tcW w:w="970" w:type="dxa"/>
            <w:vMerge w:val="continue"/>
            <w:vAlign w:val="center"/>
          </w:tcPr>
          <w:p w14:paraId="4DF7C470">
            <w:pPr>
              <w:snapToGrid w:val="0"/>
              <w:spacing w:before="102" w:after="102" w:line="360" w:lineRule="auto"/>
              <w:jc w:val="center"/>
              <w:rPr>
                <w:rFonts w:ascii="Times New Roman" w:hAnsi="Times New Roman"/>
                <w:color w:val="auto"/>
                <w:kern w:val="0"/>
                <w:sz w:val="24"/>
                <w:szCs w:val="24"/>
                <w:highlight w:val="none"/>
                <w:u w:color="000000"/>
              </w:rPr>
            </w:pPr>
          </w:p>
        </w:tc>
        <w:tc>
          <w:tcPr>
            <w:tcW w:w="3985" w:type="dxa"/>
            <w:vAlign w:val="center"/>
          </w:tcPr>
          <w:p w14:paraId="020C38AF">
            <w:pPr>
              <w:widowControl/>
              <w:autoSpaceDE w:val="0"/>
              <w:autoSpaceDN w:val="0"/>
              <w:adjustRightInd w:val="0"/>
              <w:spacing w:line="360" w:lineRule="auto"/>
              <w:jc w:val="center"/>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质保期</w:t>
            </w:r>
          </w:p>
        </w:tc>
        <w:tc>
          <w:tcPr>
            <w:tcW w:w="3613" w:type="dxa"/>
            <w:vAlign w:val="center"/>
          </w:tcPr>
          <w:p w14:paraId="05265129">
            <w:pPr>
              <w:autoSpaceDE w:val="0"/>
              <w:autoSpaceDN w:val="0"/>
              <w:adjustRightInd w:val="0"/>
              <w:spacing w:line="360" w:lineRule="auto"/>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详见第一章“招标公告”要求</w:t>
            </w:r>
          </w:p>
        </w:tc>
      </w:tr>
      <w:tr w14:paraId="19E07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10" w:type="dxa"/>
            <w:vMerge w:val="continue"/>
            <w:vAlign w:val="center"/>
          </w:tcPr>
          <w:p w14:paraId="3CE3C801">
            <w:pPr>
              <w:snapToGrid w:val="0"/>
              <w:spacing w:before="102" w:after="102" w:line="360" w:lineRule="auto"/>
              <w:jc w:val="center"/>
              <w:rPr>
                <w:rFonts w:ascii="Times New Roman" w:hAnsi="Times New Roman"/>
                <w:color w:val="auto"/>
                <w:kern w:val="0"/>
                <w:sz w:val="24"/>
                <w:szCs w:val="24"/>
                <w:highlight w:val="none"/>
                <w:u w:color="000000"/>
              </w:rPr>
            </w:pPr>
          </w:p>
        </w:tc>
        <w:tc>
          <w:tcPr>
            <w:tcW w:w="970" w:type="dxa"/>
            <w:vMerge w:val="continue"/>
            <w:vAlign w:val="center"/>
          </w:tcPr>
          <w:p w14:paraId="706A6075">
            <w:pPr>
              <w:snapToGrid w:val="0"/>
              <w:spacing w:before="102" w:after="102" w:line="360" w:lineRule="auto"/>
              <w:jc w:val="center"/>
              <w:rPr>
                <w:rFonts w:ascii="Times New Roman" w:hAnsi="Times New Roman"/>
                <w:color w:val="auto"/>
                <w:kern w:val="0"/>
                <w:sz w:val="24"/>
                <w:szCs w:val="24"/>
                <w:highlight w:val="none"/>
                <w:u w:color="000000"/>
              </w:rPr>
            </w:pPr>
          </w:p>
        </w:tc>
        <w:tc>
          <w:tcPr>
            <w:tcW w:w="3985" w:type="dxa"/>
            <w:vAlign w:val="center"/>
          </w:tcPr>
          <w:p w14:paraId="57E15934">
            <w:pPr>
              <w:widowControl/>
              <w:autoSpaceDE w:val="0"/>
              <w:autoSpaceDN w:val="0"/>
              <w:adjustRightInd w:val="0"/>
              <w:spacing w:line="360" w:lineRule="auto"/>
              <w:jc w:val="center"/>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质量要求</w:t>
            </w:r>
          </w:p>
        </w:tc>
        <w:tc>
          <w:tcPr>
            <w:tcW w:w="3613" w:type="dxa"/>
            <w:vAlign w:val="center"/>
          </w:tcPr>
          <w:p w14:paraId="7C6DED0D">
            <w:pPr>
              <w:widowControl/>
              <w:snapToGrid w:val="0"/>
              <w:spacing w:line="360" w:lineRule="auto"/>
              <w:jc w:val="center"/>
              <w:textAlignment w:val="baseline"/>
              <w:rPr>
                <w:rFonts w:ascii="Times New Roman" w:hAnsi="Times New Roman"/>
                <w:color w:val="auto"/>
                <w:kern w:val="0"/>
                <w:sz w:val="24"/>
                <w:szCs w:val="24"/>
                <w:highlight w:val="none"/>
                <w:u w:color="000000"/>
              </w:rPr>
            </w:pPr>
            <w:r>
              <w:rPr>
                <w:rFonts w:hint="eastAsia" w:ascii="Times New Roman" w:hAnsi="Times New Roman"/>
                <w:color w:val="auto"/>
                <w:sz w:val="24"/>
                <w:szCs w:val="24"/>
                <w:highlight w:val="none"/>
              </w:rPr>
              <w:t>详见第一章“招标公告”要求</w:t>
            </w:r>
          </w:p>
        </w:tc>
      </w:tr>
    </w:tbl>
    <w:p w14:paraId="0D4C0483">
      <w:pPr>
        <w:spacing w:line="360" w:lineRule="auto"/>
        <w:rPr>
          <w:rFonts w:ascii="Times New Roman" w:hAnsi="Times New Roman"/>
          <w:b/>
          <w:color w:val="auto"/>
          <w:sz w:val="24"/>
          <w:szCs w:val="21"/>
          <w:highlight w:val="none"/>
        </w:rPr>
      </w:pPr>
      <w:r>
        <w:rPr>
          <w:rFonts w:hint="eastAsia" w:ascii="Times New Roman" w:hAnsi="Times New Roman"/>
          <w:b/>
          <w:color w:val="auto"/>
          <w:sz w:val="24"/>
          <w:szCs w:val="21"/>
          <w:highlight w:val="none"/>
        </w:rPr>
        <w:t>注：以上各项初步评审因素有任意一项不符合要求的，将作无效投标处理。</w:t>
      </w:r>
    </w:p>
    <w:p w14:paraId="135E54DA">
      <w:pPr>
        <w:spacing w:line="517" w:lineRule="exact"/>
        <w:ind w:left="323" w:hanging="323" w:hangingChars="134"/>
        <w:outlineLvl w:val="1"/>
        <w:rPr>
          <w:rFonts w:ascii="Times New Roman" w:hAnsi="Times New Roman" w:eastAsia="仿宋_GB2312"/>
          <w:b/>
          <w:bCs/>
          <w:color w:val="auto"/>
          <w:sz w:val="24"/>
          <w:szCs w:val="32"/>
          <w:highlight w:val="none"/>
          <w:lang w:bidi="zh-CN"/>
        </w:rPr>
      </w:pPr>
      <w:r>
        <w:rPr>
          <w:rFonts w:ascii="Times New Roman" w:hAnsi="Times New Roman" w:eastAsia="仿宋_GB2312"/>
          <w:b/>
          <w:bCs/>
          <w:color w:val="auto"/>
          <w:sz w:val="24"/>
          <w:szCs w:val="32"/>
          <w:highlight w:val="none"/>
          <w:lang w:val="zh-CN" w:bidi="zh-CN"/>
        </w:rPr>
        <w:br w:type="page"/>
      </w:r>
      <w:bookmarkStart w:id="465" w:name="_Toc170287319"/>
      <w:bookmarkStart w:id="466" w:name="_Toc170287667"/>
      <w:bookmarkStart w:id="467" w:name="_Toc176358370"/>
      <w:r>
        <w:rPr>
          <w:rFonts w:hint="eastAsia" w:ascii="Times New Roman" w:hAnsi="Times New Roman" w:eastAsia="仿宋_GB2312"/>
          <w:b/>
          <w:bCs/>
          <w:color w:val="auto"/>
          <w:sz w:val="24"/>
          <w:szCs w:val="32"/>
          <w:highlight w:val="none"/>
          <w:lang w:val="zh-CN" w:bidi="zh-CN"/>
        </w:rPr>
        <w:t>附件</w:t>
      </w:r>
      <w:r>
        <w:rPr>
          <w:rFonts w:hint="eastAsia" w:ascii="Times New Roman" w:hAnsi="Times New Roman" w:eastAsia="仿宋_GB2312"/>
          <w:b/>
          <w:bCs/>
          <w:color w:val="auto"/>
          <w:sz w:val="24"/>
          <w:szCs w:val="32"/>
          <w:highlight w:val="none"/>
          <w:lang w:bidi="zh-CN"/>
        </w:rPr>
        <w:t>二</w:t>
      </w:r>
      <w:r>
        <w:rPr>
          <w:rFonts w:hint="eastAsia" w:ascii="Times New Roman" w:hAnsi="Times New Roman" w:eastAsia="仿宋_GB2312"/>
          <w:b/>
          <w:bCs/>
          <w:color w:val="auto"/>
          <w:sz w:val="24"/>
          <w:szCs w:val="32"/>
          <w:highlight w:val="none"/>
          <w:lang w:val="zh-CN" w:bidi="zh-CN"/>
        </w:rPr>
        <w:t>：</w:t>
      </w:r>
      <w:bookmarkEnd w:id="465"/>
      <w:bookmarkEnd w:id="466"/>
      <w:bookmarkEnd w:id="467"/>
      <w:r>
        <w:rPr>
          <w:rFonts w:hint="eastAsia" w:ascii="Times New Roman" w:hAnsi="Times New Roman" w:eastAsia="仿宋_GB2312"/>
          <w:b/>
          <w:bCs/>
          <w:color w:val="auto"/>
          <w:sz w:val="24"/>
          <w:szCs w:val="32"/>
          <w:highlight w:val="none"/>
          <w:lang w:bidi="zh-CN"/>
        </w:rPr>
        <w:t>详细评审</w:t>
      </w:r>
    </w:p>
    <w:tbl>
      <w:tblPr>
        <w:tblStyle w:val="12"/>
        <w:tblpPr w:leftFromText="180" w:rightFromText="180" w:vertAnchor="text" w:horzAnchor="page" w:tblpX="735" w:tblpY="423"/>
        <w:tblOverlap w:val="never"/>
        <w:tblW w:w="10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1330"/>
        <w:gridCol w:w="1785"/>
        <w:gridCol w:w="6553"/>
      </w:tblGrid>
      <w:tr w14:paraId="0CCDF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574" w:type="dxa"/>
            <w:vAlign w:val="center"/>
          </w:tcPr>
          <w:p w14:paraId="1C4CFE71">
            <w:pPr>
              <w:spacing w:line="500" w:lineRule="exact"/>
              <w:ind w:right="-250" w:rightChars="-119"/>
              <w:rPr>
                <w:rFonts w:ascii="Times New Roman" w:hAnsi="Times New Roman"/>
                <w:b/>
                <w:color w:val="auto"/>
                <w:highlight w:val="none"/>
              </w:rPr>
            </w:pPr>
            <w:r>
              <w:rPr>
                <w:rFonts w:hint="eastAsia" w:ascii="Times New Roman" w:hAnsi="Times New Roman"/>
                <w:b/>
                <w:color w:val="auto"/>
                <w:highlight w:val="none"/>
              </w:rPr>
              <w:t>序号</w:t>
            </w:r>
          </w:p>
        </w:tc>
        <w:tc>
          <w:tcPr>
            <w:tcW w:w="1330" w:type="dxa"/>
            <w:vAlign w:val="center"/>
          </w:tcPr>
          <w:p w14:paraId="60482818">
            <w:pPr>
              <w:spacing w:line="500" w:lineRule="exact"/>
              <w:ind w:right="-88" w:rightChars="-42"/>
              <w:jc w:val="center"/>
              <w:rPr>
                <w:rFonts w:ascii="Times New Roman" w:hAnsi="Times New Roman"/>
                <w:b/>
                <w:color w:val="auto"/>
                <w:highlight w:val="none"/>
              </w:rPr>
            </w:pPr>
            <w:r>
              <w:rPr>
                <w:rFonts w:ascii="Times New Roman" w:hAnsi="Times New Roman"/>
                <w:b/>
                <w:color w:val="auto"/>
                <w:highlight w:val="none"/>
              </w:rPr>
              <w:t>条款号</w:t>
            </w:r>
          </w:p>
        </w:tc>
        <w:tc>
          <w:tcPr>
            <w:tcW w:w="8338" w:type="dxa"/>
            <w:gridSpan w:val="2"/>
            <w:vAlign w:val="center"/>
          </w:tcPr>
          <w:p w14:paraId="606E54C3">
            <w:pPr>
              <w:spacing w:line="500" w:lineRule="exact"/>
              <w:ind w:right="-340" w:rightChars="-162"/>
              <w:jc w:val="center"/>
              <w:rPr>
                <w:rFonts w:ascii="Times New Roman" w:hAnsi="Times New Roman"/>
                <w:b/>
                <w:color w:val="auto"/>
                <w:highlight w:val="none"/>
              </w:rPr>
            </w:pPr>
            <w:r>
              <w:rPr>
                <w:rFonts w:ascii="Times New Roman" w:hAnsi="Times New Roman"/>
                <w:b/>
                <w:color w:val="auto"/>
                <w:w w:val="99"/>
                <w:highlight w:val="none"/>
              </w:rPr>
              <w:t>评分因素</w:t>
            </w:r>
          </w:p>
        </w:tc>
      </w:tr>
      <w:tr w14:paraId="65974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574" w:type="dxa"/>
            <w:vMerge w:val="restart"/>
            <w:vAlign w:val="center"/>
          </w:tcPr>
          <w:p w14:paraId="2307FB5C">
            <w:pPr>
              <w:spacing w:line="500" w:lineRule="exact"/>
              <w:ind w:left="-143" w:leftChars="-76" w:right="-250" w:rightChars="-119" w:hanging="17" w:hangingChars="8"/>
              <w:jc w:val="center"/>
              <w:rPr>
                <w:rFonts w:ascii="Times New Roman" w:hAnsi="Times New Roman"/>
                <w:b/>
                <w:color w:val="auto"/>
                <w:highlight w:val="none"/>
              </w:rPr>
            </w:pPr>
            <w:r>
              <w:rPr>
                <w:rFonts w:ascii="Times New Roman" w:hAnsi="Times New Roman"/>
                <w:b/>
                <w:color w:val="auto"/>
                <w:highlight w:val="none"/>
              </w:rPr>
              <w:t>1</w:t>
            </w:r>
          </w:p>
        </w:tc>
        <w:tc>
          <w:tcPr>
            <w:tcW w:w="1330" w:type="dxa"/>
            <w:vAlign w:val="center"/>
          </w:tcPr>
          <w:p w14:paraId="5249AB56">
            <w:pPr>
              <w:spacing w:line="500" w:lineRule="exact"/>
              <w:ind w:firstLine="105" w:firstLineChars="50"/>
              <w:jc w:val="center"/>
              <w:rPr>
                <w:rFonts w:ascii="Times New Roman" w:hAnsi="Times New Roman"/>
                <w:color w:val="auto"/>
                <w:szCs w:val="21"/>
                <w:highlight w:val="none"/>
              </w:rPr>
            </w:pPr>
            <w:r>
              <w:rPr>
                <w:rFonts w:hint="eastAsia" w:ascii="Times New Roman" w:hAnsi="Times New Roman"/>
                <w:color w:val="auto"/>
                <w:szCs w:val="21"/>
                <w:highlight w:val="none"/>
              </w:rPr>
              <w:t>分值构成</w:t>
            </w:r>
          </w:p>
          <w:p w14:paraId="62905358">
            <w:pPr>
              <w:spacing w:line="500" w:lineRule="exact"/>
              <w:jc w:val="center"/>
              <w:rPr>
                <w:rFonts w:ascii="Times New Roman" w:hAnsi="Times New Roman"/>
                <w:snapToGrid w:val="0"/>
                <w:color w:val="auto"/>
                <w:highlight w:val="none"/>
              </w:rPr>
            </w:pPr>
            <w:r>
              <w:rPr>
                <w:rFonts w:ascii="Times New Roman" w:hAnsi="Times New Roman"/>
                <w:color w:val="auto"/>
                <w:szCs w:val="21"/>
                <w:highlight w:val="none"/>
              </w:rPr>
              <w:t>(100</w:t>
            </w:r>
            <w:r>
              <w:rPr>
                <w:rFonts w:hint="eastAsia" w:ascii="Times New Roman" w:hAnsi="Times New Roman"/>
                <w:color w:val="auto"/>
                <w:szCs w:val="21"/>
                <w:highlight w:val="none"/>
              </w:rPr>
              <w:t>分</w:t>
            </w:r>
            <w:r>
              <w:rPr>
                <w:rFonts w:ascii="Times New Roman" w:hAnsi="Times New Roman"/>
                <w:color w:val="auto"/>
                <w:szCs w:val="21"/>
                <w:highlight w:val="none"/>
              </w:rPr>
              <w:t>)</w:t>
            </w:r>
          </w:p>
        </w:tc>
        <w:tc>
          <w:tcPr>
            <w:tcW w:w="8338" w:type="dxa"/>
            <w:gridSpan w:val="2"/>
            <w:vAlign w:val="center"/>
          </w:tcPr>
          <w:p w14:paraId="19BCED21">
            <w:pPr>
              <w:spacing w:line="500" w:lineRule="exact"/>
              <w:ind w:left="-107" w:leftChars="-52" w:right="-107" w:rightChars="-51" w:hanging="2"/>
              <w:rPr>
                <w:rFonts w:ascii="Times New Roman" w:hAnsi="Times New Roman"/>
                <w:color w:val="auto"/>
                <w:highlight w:val="none"/>
              </w:rPr>
            </w:pPr>
            <w:r>
              <w:rPr>
                <w:rFonts w:hint="eastAsia" w:ascii="Times New Roman" w:hAnsi="Times New Roman"/>
                <w:color w:val="auto"/>
                <w:highlight w:val="none"/>
              </w:rPr>
              <w:t>投标报价：</w:t>
            </w:r>
            <w:r>
              <w:rPr>
                <w:rFonts w:ascii="Times New Roman" w:hAnsi="Times New Roman"/>
                <w:color w:val="auto"/>
                <w:highlight w:val="none"/>
              </w:rPr>
              <w:t>30</w:t>
            </w:r>
            <w:r>
              <w:rPr>
                <w:rFonts w:hint="eastAsia" w:ascii="Times New Roman" w:hAnsi="Times New Roman"/>
                <w:color w:val="auto"/>
                <w:highlight w:val="none"/>
              </w:rPr>
              <w:t>分；技术标：55分；商务标：15分；</w:t>
            </w:r>
          </w:p>
        </w:tc>
      </w:tr>
      <w:tr w14:paraId="4FB0D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74" w:type="dxa"/>
            <w:vMerge w:val="continue"/>
            <w:vAlign w:val="center"/>
          </w:tcPr>
          <w:p w14:paraId="462B0B11">
            <w:pPr>
              <w:spacing w:line="500" w:lineRule="exact"/>
              <w:ind w:left="-143" w:leftChars="-76" w:right="-250" w:rightChars="-119" w:hanging="17" w:hangingChars="8"/>
              <w:jc w:val="center"/>
              <w:rPr>
                <w:rFonts w:ascii="Times New Roman" w:hAnsi="Times New Roman"/>
                <w:b/>
                <w:color w:val="auto"/>
                <w:highlight w:val="none"/>
              </w:rPr>
            </w:pPr>
          </w:p>
        </w:tc>
        <w:tc>
          <w:tcPr>
            <w:tcW w:w="1330" w:type="dxa"/>
            <w:vAlign w:val="center"/>
          </w:tcPr>
          <w:p w14:paraId="4BDA5182">
            <w:pPr>
              <w:spacing w:line="500" w:lineRule="exact"/>
              <w:jc w:val="center"/>
              <w:rPr>
                <w:rFonts w:ascii="Times New Roman" w:hAnsi="Times New Roman"/>
                <w:color w:val="auto"/>
                <w:szCs w:val="21"/>
                <w:highlight w:val="none"/>
              </w:rPr>
            </w:pPr>
            <w:r>
              <w:rPr>
                <w:rFonts w:hint="eastAsia" w:ascii="Times New Roman" w:hAnsi="Times New Roman"/>
                <w:color w:val="auto"/>
                <w:szCs w:val="21"/>
                <w:highlight w:val="none"/>
              </w:rPr>
              <w:t>综合得分</w:t>
            </w:r>
          </w:p>
          <w:p w14:paraId="4399BB0B">
            <w:pPr>
              <w:spacing w:line="500" w:lineRule="exact"/>
              <w:jc w:val="center"/>
              <w:rPr>
                <w:rFonts w:ascii="Times New Roman" w:hAnsi="Times New Roman"/>
                <w:color w:val="auto"/>
                <w:szCs w:val="21"/>
                <w:highlight w:val="none"/>
              </w:rPr>
            </w:pPr>
            <w:r>
              <w:rPr>
                <w:rFonts w:hint="eastAsia" w:ascii="Times New Roman" w:hAnsi="Times New Roman"/>
                <w:color w:val="auto"/>
                <w:szCs w:val="21"/>
                <w:highlight w:val="none"/>
              </w:rPr>
              <w:t>按公式计算</w:t>
            </w:r>
          </w:p>
        </w:tc>
        <w:tc>
          <w:tcPr>
            <w:tcW w:w="8338" w:type="dxa"/>
            <w:gridSpan w:val="2"/>
            <w:vAlign w:val="center"/>
          </w:tcPr>
          <w:p w14:paraId="6308DCC2">
            <w:pPr>
              <w:spacing w:line="500" w:lineRule="exact"/>
              <w:ind w:left="-107" w:leftChars="-52" w:right="-107" w:rightChars="-51" w:hanging="2"/>
              <w:rPr>
                <w:rFonts w:ascii="Times New Roman" w:hAnsi="Times New Roman"/>
                <w:color w:val="auto"/>
                <w:highlight w:val="none"/>
              </w:rPr>
            </w:pPr>
            <w:r>
              <w:rPr>
                <w:rFonts w:hint="eastAsia" w:ascii="Times New Roman" w:hAnsi="Times New Roman"/>
                <w:color w:val="auto"/>
                <w:highlight w:val="none"/>
              </w:rPr>
              <w:t>综合得分</w:t>
            </w:r>
            <w:r>
              <w:rPr>
                <w:rFonts w:ascii="Times New Roman" w:hAnsi="Times New Roman"/>
                <w:color w:val="auto"/>
                <w:highlight w:val="none"/>
              </w:rPr>
              <w:t>=</w:t>
            </w:r>
            <w:r>
              <w:rPr>
                <w:rFonts w:hint="eastAsia" w:ascii="Times New Roman" w:hAnsi="Times New Roman"/>
                <w:color w:val="auto"/>
                <w:highlight w:val="none"/>
              </w:rPr>
              <w:t>报价得分＋技术标得分＋商务标得分；</w:t>
            </w:r>
          </w:p>
          <w:p w14:paraId="4EAC5DCD">
            <w:pPr>
              <w:spacing w:line="500" w:lineRule="exact"/>
              <w:ind w:left="-107" w:leftChars="-52" w:right="-107" w:rightChars="-51" w:hanging="2"/>
              <w:rPr>
                <w:rFonts w:ascii="Times New Roman" w:hAnsi="Times New Roman"/>
                <w:color w:val="auto"/>
                <w:highlight w:val="none"/>
              </w:rPr>
            </w:pPr>
            <w:r>
              <w:rPr>
                <w:rFonts w:hint="eastAsia" w:ascii="Times New Roman" w:hAnsi="Times New Roman"/>
                <w:color w:val="auto"/>
                <w:highlight w:val="none"/>
              </w:rPr>
              <w:t>投标人综合得分按下列公式计算（计算分值均保留两位小数）；</w:t>
            </w:r>
          </w:p>
        </w:tc>
      </w:tr>
      <w:tr w14:paraId="0B263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8" w:hRule="atLeast"/>
        </w:trPr>
        <w:tc>
          <w:tcPr>
            <w:tcW w:w="574" w:type="dxa"/>
            <w:vAlign w:val="center"/>
          </w:tcPr>
          <w:p w14:paraId="7FB1C914">
            <w:pPr>
              <w:spacing w:line="500" w:lineRule="exact"/>
              <w:ind w:left="-143" w:leftChars="-76" w:right="-250" w:rightChars="-119" w:hanging="17" w:hangingChars="8"/>
              <w:jc w:val="center"/>
              <w:rPr>
                <w:rFonts w:ascii="Times New Roman" w:hAnsi="Times New Roman"/>
                <w:b/>
                <w:color w:val="auto"/>
                <w:highlight w:val="none"/>
              </w:rPr>
            </w:pPr>
            <w:r>
              <w:rPr>
                <w:rFonts w:ascii="Times New Roman" w:hAnsi="Times New Roman"/>
                <w:b/>
                <w:color w:val="auto"/>
                <w:highlight w:val="none"/>
              </w:rPr>
              <w:t>2</w:t>
            </w:r>
          </w:p>
        </w:tc>
        <w:tc>
          <w:tcPr>
            <w:tcW w:w="1330" w:type="dxa"/>
            <w:vAlign w:val="center"/>
          </w:tcPr>
          <w:p w14:paraId="08B645B4">
            <w:pPr>
              <w:spacing w:line="500" w:lineRule="exact"/>
              <w:ind w:left="-107" w:leftChars="-51" w:right="-107" w:rightChars="-51" w:firstLine="1"/>
              <w:jc w:val="center"/>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投标报价</w:t>
            </w:r>
          </w:p>
          <w:p w14:paraId="2590CC7A">
            <w:pPr>
              <w:spacing w:line="500" w:lineRule="exact"/>
              <w:ind w:left="-107" w:leftChars="-51" w:right="-107" w:rightChars="-51" w:firstLine="1"/>
              <w:jc w:val="center"/>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w:t>
            </w:r>
            <w:r>
              <w:rPr>
                <w:rFonts w:ascii="Times New Roman" w:hAnsi="Times New Roman"/>
                <w:snapToGrid w:val="0"/>
                <w:color w:val="auto"/>
                <w:kern w:val="0"/>
                <w:highlight w:val="none"/>
              </w:rPr>
              <w:t>30</w:t>
            </w:r>
            <w:r>
              <w:rPr>
                <w:rFonts w:hint="eastAsia" w:ascii="Times New Roman" w:hAnsi="Times New Roman"/>
                <w:snapToGrid w:val="0"/>
                <w:color w:val="auto"/>
                <w:kern w:val="0"/>
                <w:highlight w:val="none"/>
              </w:rPr>
              <w:t>分）</w:t>
            </w:r>
          </w:p>
        </w:tc>
        <w:tc>
          <w:tcPr>
            <w:tcW w:w="8338" w:type="dxa"/>
            <w:gridSpan w:val="2"/>
            <w:vAlign w:val="center"/>
          </w:tcPr>
          <w:p w14:paraId="4FEFB8FB">
            <w:pPr>
              <w:spacing w:line="500" w:lineRule="exact"/>
              <w:ind w:left="-107" w:leftChars="-52" w:right="-107" w:rightChars="-51" w:hanging="2"/>
              <w:rPr>
                <w:rFonts w:ascii="Times New Roman" w:hAnsi="Times New Roman"/>
                <w:color w:val="auto"/>
                <w:highlight w:val="none"/>
              </w:rPr>
            </w:pPr>
            <w:r>
              <w:rPr>
                <w:rFonts w:ascii="Times New Roman" w:hAnsi="Times New Roman"/>
                <w:color w:val="auto"/>
                <w:highlight w:val="none"/>
              </w:rPr>
              <w:t>1</w:t>
            </w:r>
            <w:r>
              <w:rPr>
                <w:rFonts w:hint="eastAsia" w:ascii="Times New Roman" w:hAnsi="Times New Roman"/>
                <w:color w:val="auto"/>
                <w:highlight w:val="none"/>
              </w:rPr>
              <w:t>、投标报价价格分统一采用低价优先法计算，即满足招标文件要求且投标价格最低的投标报价为评标基准价，其价格分为</w:t>
            </w:r>
            <w:r>
              <w:rPr>
                <w:rFonts w:ascii="Times New Roman" w:hAnsi="Times New Roman"/>
                <w:color w:val="auto"/>
                <w:highlight w:val="none"/>
              </w:rPr>
              <w:t>30</w:t>
            </w:r>
            <w:r>
              <w:rPr>
                <w:rFonts w:hint="eastAsia" w:ascii="Times New Roman" w:hAnsi="Times New Roman"/>
                <w:color w:val="auto"/>
                <w:highlight w:val="none"/>
              </w:rPr>
              <w:t>满分。其他投标人的价格分统一按照下列公式计算：</w:t>
            </w:r>
          </w:p>
          <w:p w14:paraId="352FF4C1">
            <w:pPr>
              <w:spacing w:line="500" w:lineRule="exact"/>
              <w:ind w:left="-107" w:leftChars="-52" w:right="-107" w:rightChars="-51" w:hanging="2"/>
              <w:rPr>
                <w:rFonts w:ascii="Times New Roman" w:hAnsi="Times New Roman"/>
                <w:color w:val="auto"/>
                <w:highlight w:val="none"/>
              </w:rPr>
            </w:pPr>
            <w:r>
              <w:rPr>
                <w:rFonts w:hint="eastAsia" w:ascii="Times New Roman" w:hAnsi="Times New Roman"/>
                <w:color w:val="auto"/>
                <w:highlight w:val="none"/>
              </w:rPr>
              <w:t>投标报价得分</w:t>
            </w:r>
            <w:r>
              <w:rPr>
                <w:rFonts w:ascii="Times New Roman" w:hAnsi="Times New Roman"/>
                <w:color w:val="auto"/>
                <w:highlight w:val="none"/>
              </w:rPr>
              <w:t>=</w:t>
            </w:r>
            <w:r>
              <w:rPr>
                <w:rFonts w:hint="eastAsia" w:ascii="Times New Roman" w:hAnsi="Times New Roman"/>
                <w:color w:val="auto"/>
                <w:highlight w:val="none"/>
              </w:rPr>
              <w:t>（评标基准价</w:t>
            </w:r>
            <w:r>
              <w:rPr>
                <w:rFonts w:ascii="Times New Roman" w:hAnsi="Times New Roman"/>
                <w:color w:val="auto"/>
                <w:highlight w:val="none"/>
              </w:rPr>
              <w:t>/</w:t>
            </w:r>
            <w:r>
              <w:rPr>
                <w:rFonts w:hint="eastAsia" w:ascii="Times New Roman" w:hAnsi="Times New Roman"/>
                <w:color w:val="auto"/>
                <w:highlight w:val="none"/>
              </w:rPr>
              <w:t>投标报价）×</w:t>
            </w:r>
            <w:r>
              <w:rPr>
                <w:rFonts w:ascii="Times New Roman" w:hAnsi="Times New Roman"/>
                <w:color w:val="auto"/>
                <w:highlight w:val="none"/>
              </w:rPr>
              <w:t>30</w:t>
            </w:r>
            <w:r>
              <w:rPr>
                <w:rFonts w:hint="eastAsia" w:ascii="Times New Roman" w:hAnsi="Times New Roman"/>
                <w:color w:val="auto"/>
                <w:highlight w:val="none"/>
              </w:rPr>
              <w:t>。</w:t>
            </w:r>
          </w:p>
          <w:p w14:paraId="53D863E3">
            <w:pPr>
              <w:spacing w:line="500" w:lineRule="exact"/>
              <w:ind w:left="-107" w:leftChars="-52" w:right="-107" w:rightChars="-51" w:hanging="2"/>
              <w:rPr>
                <w:rFonts w:ascii="Times New Roman" w:hAnsi="Times New Roman"/>
                <w:color w:val="auto"/>
                <w:highlight w:val="none"/>
              </w:rPr>
            </w:pPr>
            <w:r>
              <w:rPr>
                <w:rFonts w:hint="eastAsia" w:ascii="Times New Roman" w:hAnsi="Times New Roman"/>
                <w:color w:val="auto"/>
                <w:highlight w:val="none"/>
              </w:rPr>
              <w:t>评标委员会认为投标人的报价明显低于其他通过符合性审查投标人的报价，有可能影响工程质量或者不能诚信履约的，应当要求其在合理的时间内提供说明，必要时提交相关证明材料；投标人不能证明其报价合理性的，评标委员会应当将其作为无效标处理。</w:t>
            </w:r>
          </w:p>
          <w:p w14:paraId="0497E0F5">
            <w:pPr>
              <w:spacing w:line="500" w:lineRule="exact"/>
              <w:ind w:left="-107" w:leftChars="-52" w:right="-107" w:rightChars="-51" w:hanging="2"/>
              <w:rPr>
                <w:rFonts w:ascii="Times New Roman" w:hAnsi="Times New Roman"/>
                <w:color w:val="auto"/>
                <w:highlight w:val="none"/>
              </w:rPr>
            </w:pPr>
            <w:r>
              <w:rPr>
                <w:rFonts w:ascii="Times New Roman" w:hAnsi="Times New Roman"/>
                <w:color w:val="auto"/>
                <w:highlight w:val="none"/>
              </w:rPr>
              <w:t>2</w:t>
            </w:r>
            <w:r>
              <w:rPr>
                <w:rFonts w:hint="eastAsia" w:ascii="Times New Roman" w:hAnsi="Times New Roman"/>
                <w:color w:val="auto"/>
                <w:highlight w:val="none"/>
              </w:rPr>
              <w:t>、落实政府采购政策满足的要求：对于非专门面向中小企业的项目，本项目对小微企业生产的产品的价格给予2</w:t>
            </w:r>
            <w:r>
              <w:rPr>
                <w:rFonts w:ascii="Times New Roman" w:hAnsi="Times New Roman"/>
                <w:color w:val="auto"/>
                <w:highlight w:val="none"/>
              </w:rPr>
              <w:t>0%</w:t>
            </w:r>
            <w:r>
              <w:rPr>
                <w:rFonts w:hint="eastAsia" w:ascii="Times New Roman" w:hAnsi="Times New Roman"/>
                <w:color w:val="auto"/>
                <w:highlight w:val="none"/>
              </w:rPr>
              <w:t>的扣除，用扣除后的价格参与报价计算。参加投标的中小微企业，应当按照《政府采购促进中小企业发展管理办法》（财库﹝</w:t>
            </w:r>
            <w:r>
              <w:rPr>
                <w:rFonts w:ascii="Times New Roman" w:hAnsi="Times New Roman"/>
                <w:color w:val="auto"/>
                <w:highlight w:val="none"/>
              </w:rPr>
              <w:t>2020</w:t>
            </w:r>
            <w:r>
              <w:rPr>
                <w:rFonts w:hint="eastAsia" w:ascii="Times New Roman" w:hAnsi="Times New Roman"/>
                <w:color w:val="auto"/>
                <w:highlight w:val="none"/>
              </w:rPr>
              <w:t>﹞</w:t>
            </w:r>
            <w:r>
              <w:rPr>
                <w:rFonts w:ascii="Times New Roman" w:hAnsi="Times New Roman"/>
                <w:color w:val="auto"/>
                <w:highlight w:val="none"/>
              </w:rPr>
              <w:t>46</w:t>
            </w:r>
            <w:r>
              <w:rPr>
                <w:rFonts w:hint="eastAsia" w:ascii="Times New Roman" w:hAnsi="Times New Roman"/>
                <w:color w:val="auto"/>
                <w:highlight w:val="none"/>
              </w:rPr>
              <w:t>号）的规定提供《中小企业声明函》，（中小企业划型标准详见《关于印发中小企业划型标准规定的通知》工信部联企业〔</w:t>
            </w:r>
            <w:r>
              <w:rPr>
                <w:rFonts w:ascii="Times New Roman" w:hAnsi="Times New Roman"/>
                <w:color w:val="auto"/>
                <w:highlight w:val="none"/>
              </w:rPr>
              <w:t>2011</w:t>
            </w:r>
            <w:r>
              <w:rPr>
                <w:rFonts w:hint="eastAsia" w:ascii="Times New Roman" w:hAnsi="Times New Roman"/>
                <w:color w:val="auto"/>
                <w:highlight w:val="none"/>
              </w:rPr>
              <w:t>〕</w:t>
            </w:r>
            <w:r>
              <w:rPr>
                <w:rFonts w:ascii="Times New Roman" w:hAnsi="Times New Roman"/>
                <w:color w:val="auto"/>
                <w:highlight w:val="none"/>
              </w:rPr>
              <w:t>300</w:t>
            </w:r>
            <w:r>
              <w:rPr>
                <w:rFonts w:hint="eastAsia" w:ascii="Times New Roman" w:hAnsi="Times New Roman"/>
                <w:color w:val="auto"/>
                <w:highlight w:val="none"/>
              </w:rPr>
              <w:t>号）。</w:t>
            </w:r>
          </w:p>
        </w:tc>
      </w:tr>
      <w:tr w14:paraId="49DC8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574" w:type="dxa"/>
            <w:vMerge w:val="restart"/>
            <w:vAlign w:val="center"/>
          </w:tcPr>
          <w:p w14:paraId="597A5C86">
            <w:pPr>
              <w:spacing w:line="500" w:lineRule="exact"/>
              <w:ind w:left="-143" w:leftChars="-76" w:right="-250" w:rightChars="-119" w:hanging="17" w:hangingChars="8"/>
              <w:jc w:val="center"/>
              <w:rPr>
                <w:rFonts w:ascii="Times New Roman" w:hAnsi="Times New Roman"/>
                <w:b/>
                <w:color w:val="auto"/>
                <w:highlight w:val="none"/>
              </w:rPr>
            </w:pPr>
            <w:r>
              <w:rPr>
                <w:rFonts w:ascii="Times New Roman" w:hAnsi="Times New Roman"/>
                <w:b/>
                <w:color w:val="auto"/>
                <w:highlight w:val="none"/>
              </w:rPr>
              <w:t>3</w:t>
            </w:r>
          </w:p>
        </w:tc>
        <w:tc>
          <w:tcPr>
            <w:tcW w:w="1330" w:type="dxa"/>
            <w:vMerge w:val="restart"/>
            <w:vAlign w:val="center"/>
          </w:tcPr>
          <w:p w14:paraId="17A4AEF1">
            <w:pPr>
              <w:tabs>
                <w:tab w:val="center" w:pos="4153"/>
                <w:tab w:val="right" w:pos="8306"/>
              </w:tabs>
              <w:snapToGrid w:val="0"/>
              <w:spacing w:line="500" w:lineRule="exact"/>
              <w:jc w:val="center"/>
              <w:rPr>
                <w:rFonts w:ascii="Times New Roman" w:hAnsi="Times New Roman"/>
                <w:color w:val="auto"/>
                <w:highlight w:val="none"/>
              </w:rPr>
            </w:pPr>
            <w:r>
              <w:rPr>
                <w:rFonts w:hint="eastAsia" w:ascii="Times New Roman" w:hAnsi="Times New Roman"/>
                <w:color w:val="auto"/>
                <w:highlight w:val="none"/>
              </w:rPr>
              <w:t>技术标评分标准（55分）</w:t>
            </w:r>
          </w:p>
        </w:tc>
        <w:tc>
          <w:tcPr>
            <w:tcW w:w="1785" w:type="dxa"/>
            <w:vAlign w:val="center"/>
          </w:tcPr>
          <w:p w14:paraId="6AF9E39A">
            <w:pPr>
              <w:spacing w:line="500" w:lineRule="exact"/>
              <w:ind w:left="-109" w:leftChars="-52" w:right="-107" w:rightChars="-51"/>
              <w:jc w:val="center"/>
              <w:rPr>
                <w:rFonts w:ascii="Times New Roman" w:hAnsi="Times New Roman"/>
                <w:color w:val="auto"/>
                <w:highlight w:val="none"/>
              </w:rPr>
            </w:pPr>
            <w:r>
              <w:rPr>
                <w:rFonts w:hint="eastAsia" w:ascii="Times New Roman" w:hAnsi="Times New Roman"/>
                <w:color w:val="auto"/>
                <w:highlight w:val="none"/>
              </w:rPr>
              <w:t>1、投标产品技术性能（</w:t>
            </w:r>
            <w:r>
              <w:rPr>
                <w:rFonts w:ascii="Times New Roman" w:hAnsi="Times New Roman"/>
                <w:color w:val="auto"/>
                <w:highlight w:val="none"/>
              </w:rPr>
              <w:t>20</w:t>
            </w:r>
            <w:r>
              <w:rPr>
                <w:rFonts w:hint="eastAsia" w:ascii="Times New Roman" w:hAnsi="Times New Roman"/>
                <w:color w:val="auto"/>
                <w:highlight w:val="none"/>
              </w:rPr>
              <w:t>分）</w:t>
            </w:r>
          </w:p>
        </w:tc>
        <w:tc>
          <w:tcPr>
            <w:tcW w:w="6553" w:type="dxa"/>
            <w:vAlign w:val="center"/>
          </w:tcPr>
          <w:p w14:paraId="48FE54BE">
            <w:pPr>
              <w:spacing w:line="500" w:lineRule="exact"/>
              <w:ind w:left="-109" w:leftChars="-52" w:right="-107" w:rightChars="-51"/>
              <w:rPr>
                <w:rFonts w:ascii="Times New Roman" w:hAnsi="Times New Roman"/>
                <w:color w:val="auto"/>
                <w:highlight w:val="none"/>
              </w:rPr>
            </w:pPr>
            <w:r>
              <w:rPr>
                <w:rFonts w:hint="eastAsia" w:ascii="Times New Roman" w:hAnsi="Times New Roman"/>
                <w:color w:val="auto"/>
                <w:highlight w:val="none"/>
              </w:rPr>
              <w:t>投标产品在满足“第三章 采购需求中的技术参数”要求基础上，#代表重要指标，每有一项满足或优于（正偏离）标注#的指标得</w:t>
            </w:r>
            <w:r>
              <w:rPr>
                <w:rFonts w:ascii="Times New Roman" w:hAnsi="Times New Roman"/>
                <w:color w:val="auto"/>
                <w:highlight w:val="none"/>
              </w:rPr>
              <w:t>0.5</w:t>
            </w:r>
            <w:r>
              <w:rPr>
                <w:rFonts w:hint="eastAsia" w:ascii="Times New Roman" w:hAnsi="Times New Roman"/>
                <w:color w:val="auto"/>
                <w:highlight w:val="none"/>
              </w:rPr>
              <w:t>分，最多得</w:t>
            </w:r>
            <w:r>
              <w:rPr>
                <w:rFonts w:ascii="Times New Roman" w:hAnsi="Times New Roman"/>
                <w:color w:val="auto"/>
                <w:highlight w:val="none"/>
              </w:rPr>
              <w:t>20</w:t>
            </w:r>
            <w:r>
              <w:rPr>
                <w:rFonts w:hint="eastAsia" w:ascii="Times New Roman" w:hAnsi="Times New Roman"/>
                <w:color w:val="auto"/>
                <w:highlight w:val="none"/>
              </w:rPr>
              <w:t>分。【标注#的指标含有多个下级指标的，所有指标均应满足或优于，不满足视为负偏离，则“技术参数”得分为0分】</w:t>
            </w:r>
          </w:p>
        </w:tc>
      </w:tr>
      <w:tr w14:paraId="41736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574" w:type="dxa"/>
            <w:vMerge w:val="continue"/>
            <w:vAlign w:val="center"/>
          </w:tcPr>
          <w:p w14:paraId="5D2C34B4">
            <w:pPr>
              <w:spacing w:line="500" w:lineRule="exact"/>
              <w:ind w:left="-143" w:leftChars="-76" w:right="-250" w:rightChars="-119" w:hanging="17" w:hangingChars="8"/>
              <w:jc w:val="center"/>
              <w:rPr>
                <w:rFonts w:ascii="Times New Roman" w:hAnsi="Times New Roman"/>
                <w:b/>
                <w:color w:val="auto"/>
                <w:highlight w:val="none"/>
              </w:rPr>
            </w:pPr>
          </w:p>
        </w:tc>
        <w:tc>
          <w:tcPr>
            <w:tcW w:w="1330" w:type="dxa"/>
            <w:vMerge w:val="continue"/>
            <w:vAlign w:val="center"/>
          </w:tcPr>
          <w:p w14:paraId="46EAACAE">
            <w:pPr>
              <w:tabs>
                <w:tab w:val="center" w:pos="4153"/>
                <w:tab w:val="right" w:pos="8306"/>
              </w:tabs>
              <w:snapToGrid w:val="0"/>
              <w:spacing w:line="500" w:lineRule="exact"/>
              <w:ind w:firstLine="210" w:firstLineChars="100"/>
              <w:jc w:val="center"/>
              <w:rPr>
                <w:rFonts w:ascii="Times New Roman" w:hAnsi="Times New Roman"/>
                <w:color w:val="auto"/>
                <w:highlight w:val="none"/>
              </w:rPr>
            </w:pPr>
          </w:p>
        </w:tc>
        <w:tc>
          <w:tcPr>
            <w:tcW w:w="1785" w:type="dxa"/>
            <w:vAlign w:val="center"/>
          </w:tcPr>
          <w:p w14:paraId="383DD537">
            <w:pPr>
              <w:spacing w:line="500" w:lineRule="exact"/>
              <w:ind w:left="-109" w:leftChars="-52" w:right="-107" w:rightChars="-51"/>
              <w:jc w:val="center"/>
              <w:rPr>
                <w:rFonts w:ascii="Times New Roman" w:hAnsi="Times New Roman"/>
                <w:color w:val="auto"/>
                <w:highlight w:val="none"/>
              </w:rPr>
            </w:pPr>
            <w:r>
              <w:rPr>
                <w:rFonts w:hint="eastAsia" w:ascii="Times New Roman" w:hAnsi="Times New Roman"/>
                <w:color w:val="auto"/>
                <w:highlight w:val="none"/>
              </w:rPr>
              <w:t>2局地小尺度天气系统的探测识别能力（5分）</w:t>
            </w:r>
          </w:p>
        </w:tc>
        <w:tc>
          <w:tcPr>
            <w:tcW w:w="6553" w:type="dxa"/>
            <w:vAlign w:val="center"/>
          </w:tcPr>
          <w:p w14:paraId="231EBCA9">
            <w:pPr>
              <w:spacing w:line="500" w:lineRule="exact"/>
              <w:ind w:left="-109" w:leftChars="-52" w:right="-107" w:rightChars="-51" w:firstLine="420" w:firstLineChars="200"/>
              <w:rPr>
                <w:rFonts w:ascii="Times New Roman" w:hAnsi="Times New Roman"/>
                <w:color w:val="auto"/>
                <w:highlight w:val="none"/>
              </w:rPr>
            </w:pPr>
            <w:r>
              <w:rPr>
                <w:rFonts w:hint="eastAsia" w:ascii="Times New Roman" w:hAnsi="Times New Roman"/>
                <w:color w:val="auto"/>
                <w:highlight w:val="none"/>
              </w:rPr>
              <w:t>针对投标人提供的双偏振（双极化）相控阵天气雷达对局地小尺度天气系统（①龙卷、②冰雹、③短时暴雨、④雷暴大风）探测识别应用方案和案例进行评审：</w:t>
            </w:r>
          </w:p>
          <w:p w14:paraId="5D71C445">
            <w:pPr>
              <w:spacing w:line="500" w:lineRule="exact"/>
              <w:ind w:left="-109" w:leftChars="-52" w:right="-107" w:rightChars="-51" w:firstLine="420" w:firstLineChars="200"/>
              <w:rPr>
                <w:rFonts w:ascii="Times New Roman" w:hAnsi="Times New Roman"/>
                <w:color w:val="auto"/>
                <w:highlight w:val="none"/>
              </w:rPr>
            </w:pPr>
            <w:r>
              <w:rPr>
                <w:rFonts w:hint="eastAsia" w:ascii="Times New Roman" w:hAnsi="Times New Roman"/>
                <w:color w:val="auto"/>
                <w:highlight w:val="none"/>
              </w:rPr>
              <w:t>1.应用方案全面详细具体，技术路线和方案清晰可行，案例丰富的，得5分；</w:t>
            </w:r>
          </w:p>
          <w:p w14:paraId="6F3B0426">
            <w:pPr>
              <w:spacing w:line="500" w:lineRule="exact"/>
              <w:ind w:left="-109" w:leftChars="-52" w:right="-107" w:rightChars="-51" w:firstLine="420" w:firstLineChars="200"/>
              <w:rPr>
                <w:rFonts w:ascii="Times New Roman" w:hAnsi="Times New Roman"/>
                <w:color w:val="auto"/>
                <w:highlight w:val="none"/>
              </w:rPr>
            </w:pPr>
            <w:r>
              <w:rPr>
                <w:rFonts w:hint="eastAsia" w:ascii="Times New Roman" w:hAnsi="Times New Roman"/>
                <w:color w:val="auto"/>
                <w:highlight w:val="none"/>
              </w:rPr>
              <w:t>2.应用方案基本全面，技术路线和方案基本可行，案例较为丰富的，得3分；</w:t>
            </w:r>
          </w:p>
          <w:p w14:paraId="59D3C673">
            <w:pPr>
              <w:spacing w:line="500" w:lineRule="exact"/>
              <w:ind w:left="-109" w:leftChars="-52" w:right="-107" w:rightChars="-51" w:firstLine="420" w:firstLineChars="200"/>
              <w:rPr>
                <w:rFonts w:ascii="Times New Roman" w:hAnsi="Times New Roman"/>
                <w:color w:val="auto"/>
                <w:highlight w:val="none"/>
              </w:rPr>
            </w:pPr>
            <w:r>
              <w:rPr>
                <w:rFonts w:hint="eastAsia" w:ascii="Times New Roman" w:hAnsi="Times New Roman"/>
                <w:color w:val="auto"/>
                <w:highlight w:val="none"/>
              </w:rPr>
              <w:t>3.应用方案不太全面，技术路线和方案不太可行，案例较少或没有案例的，得1分；</w:t>
            </w:r>
          </w:p>
          <w:p w14:paraId="6084A860">
            <w:pPr>
              <w:spacing w:line="500" w:lineRule="exact"/>
              <w:ind w:left="-109" w:leftChars="-52" w:right="-107" w:rightChars="-51" w:firstLine="420" w:firstLineChars="200"/>
              <w:rPr>
                <w:rFonts w:ascii="Times New Roman" w:hAnsi="Times New Roman"/>
                <w:color w:val="auto"/>
                <w:highlight w:val="none"/>
              </w:rPr>
            </w:pPr>
            <w:r>
              <w:rPr>
                <w:rFonts w:hint="eastAsia" w:ascii="Times New Roman" w:hAnsi="Times New Roman"/>
                <w:color w:val="auto"/>
                <w:highlight w:val="none"/>
              </w:rPr>
              <w:t>4.没有应用报告的，得0分。</w:t>
            </w:r>
          </w:p>
        </w:tc>
      </w:tr>
      <w:tr w14:paraId="3EC7F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574" w:type="dxa"/>
            <w:vMerge w:val="continue"/>
            <w:vAlign w:val="center"/>
          </w:tcPr>
          <w:p w14:paraId="3774D45C">
            <w:pPr>
              <w:spacing w:line="500" w:lineRule="exact"/>
              <w:ind w:left="-143" w:leftChars="-76" w:right="-250" w:rightChars="-119" w:hanging="17" w:hangingChars="8"/>
              <w:jc w:val="center"/>
              <w:rPr>
                <w:rFonts w:ascii="Times New Roman" w:hAnsi="Times New Roman"/>
                <w:b/>
                <w:color w:val="auto"/>
                <w:highlight w:val="none"/>
              </w:rPr>
            </w:pPr>
          </w:p>
        </w:tc>
        <w:tc>
          <w:tcPr>
            <w:tcW w:w="1330" w:type="dxa"/>
            <w:vMerge w:val="continue"/>
            <w:vAlign w:val="center"/>
          </w:tcPr>
          <w:p w14:paraId="7CAD9130">
            <w:pPr>
              <w:tabs>
                <w:tab w:val="center" w:pos="4153"/>
                <w:tab w:val="right" w:pos="8306"/>
              </w:tabs>
              <w:snapToGrid w:val="0"/>
              <w:spacing w:line="500" w:lineRule="exact"/>
              <w:ind w:firstLine="210" w:firstLineChars="100"/>
              <w:jc w:val="center"/>
              <w:rPr>
                <w:rFonts w:ascii="Times New Roman" w:hAnsi="Times New Roman"/>
                <w:color w:val="auto"/>
                <w:highlight w:val="none"/>
              </w:rPr>
            </w:pPr>
          </w:p>
        </w:tc>
        <w:tc>
          <w:tcPr>
            <w:tcW w:w="1785" w:type="dxa"/>
            <w:vAlign w:val="center"/>
          </w:tcPr>
          <w:p w14:paraId="131F6F60">
            <w:pPr>
              <w:spacing w:line="500" w:lineRule="exact"/>
              <w:ind w:left="-109" w:leftChars="-52" w:right="-107" w:rightChars="-51"/>
              <w:jc w:val="center"/>
              <w:rPr>
                <w:rFonts w:ascii="Times New Roman" w:hAnsi="Times New Roman"/>
                <w:color w:val="auto"/>
                <w:highlight w:val="none"/>
              </w:rPr>
            </w:pPr>
            <w:r>
              <w:rPr>
                <w:rFonts w:hint="eastAsia" w:ascii="Times New Roman" w:hAnsi="Times New Roman"/>
                <w:color w:val="auto"/>
                <w:highlight w:val="none"/>
              </w:rPr>
              <w:t>3同波段（</w:t>
            </w:r>
            <w:r>
              <w:rPr>
                <w:rFonts w:ascii="Times New Roman" w:hAnsi="Times New Roman"/>
                <w:color w:val="auto"/>
                <w:highlight w:val="none"/>
              </w:rPr>
              <w:t>X</w:t>
            </w:r>
            <w:r>
              <w:rPr>
                <w:rFonts w:hint="eastAsia" w:ascii="Times New Roman" w:hAnsi="Times New Roman"/>
                <w:color w:val="auto"/>
                <w:highlight w:val="none"/>
              </w:rPr>
              <w:t>）组网协同观测方案可行性（5分）</w:t>
            </w:r>
          </w:p>
        </w:tc>
        <w:tc>
          <w:tcPr>
            <w:tcW w:w="6553" w:type="dxa"/>
            <w:vAlign w:val="center"/>
          </w:tcPr>
          <w:p w14:paraId="5F3C762A">
            <w:pPr>
              <w:spacing w:line="500" w:lineRule="exact"/>
              <w:ind w:left="-109" w:leftChars="-52" w:right="-107" w:rightChars="-51" w:firstLine="420" w:firstLineChars="200"/>
              <w:rPr>
                <w:rFonts w:ascii="Times New Roman" w:hAnsi="Times New Roman"/>
                <w:color w:val="auto"/>
                <w:highlight w:val="none"/>
              </w:rPr>
            </w:pPr>
            <w:r>
              <w:rPr>
                <w:rFonts w:hint="eastAsia" w:ascii="Times New Roman" w:hAnsi="Times New Roman"/>
                <w:color w:val="auto"/>
                <w:highlight w:val="none"/>
              </w:rPr>
              <w:t>根据投标人所投产品与周边已布设的X波段双偏振相控阵天气雷达组网协同观测方案可行性进行评审，包括①组网协同观测技术分析、②组网协同观测实施方案、③组网协同观测应用案例。</w:t>
            </w:r>
          </w:p>
          <w:p w14:paraId="45EF7AE8">
            <w:pPr>
              <w:spacing w:line="500" w:lineRule="exact"/>
              <w:ind w:left="-109" w:leftChars="-52" w:right="-107" w:rightChars="-51" w:firstLine="420" w:firstLineChars="200"/>
              <w:rPr>
                <w:rFonts w:ascii="Times New Roman" w:hAnsi="Times New Roman"/>
                <w:color w:val="auto"/>
                <w:highlight w:val="none"/>
              </w:rPr>
            </w:pPr>
            <w:r>
              <w:rPr>
                <w:rFonts w:hint="eastAsia" w:ascii="Times New Roman" w:hAnsi="Times New Roman"/>
                <w:color w:val="auto"/>
                <w:highlight w:val="none"/>
              </w:rPr>
              <w:t>1.方案内容详实、可行性强，案例丰富的，得5分；</w:t>
            </w:r>
          </w:p>
          <w:p w14:paraId="44CA3E80">
            <w:pPr>
              <w:spacing w:line="500" w:lineRule="exact"/>
              <w:ind w:left="-109" w:leftChars="-52" w:right="-107" w:rightChars="-51" w:firstLine="420" w:firstLineChars="200"/>
              <w:rPr>
                <w:rFonts w:ascii="Times New Roman" w:hAnsi="Times New Roman"/>
                <w:color w:val="auto"/>
                <w:highlight w:val="none"/>
              </w:rPr>
            </w:pPr>
            <w:r>
              <w:rPr>
                <w:rFonts w:hint="eastAsia" w:ascii="Times New Roman" w:hAnsi="Times New Roman"/>
                <w:color w:val="auto"/>
                <w:highlight w:val="none"/>
              </w:rPr>
              <w:t>2.方案内容较详实、可行性较强，案例较为丰富的，得3分；</w:t>
            </w:r>
          </w:p>
          <w:p w14:paraId="28CC59C6">
            <w:pPr>
              <w:spacing w:line="500" w:lineRule="exact"/>
              <w:ind w:left="-109" w:leftChars="-52" w:right="-107" w:rightChars="-51" w:firstLine="420" w:firstLineChars="200"/>
              <w:rPr>
                <w:rFonts w:ascii="Times New Roman" w:hAnsi="Times New Roman"/>
                <w:color w:val="auto"/>
                <w:highlight w:val="none"/>
              </w:rPr>
            </w:pPr>
            <w:r>
              <w:rPr>
                <w:rFonts w:hint="eastAsia" w:ascii="Times New Roman" w:hAnsi="Times New Roman"/>
                <w:color w:val="auto"/>
                <w:highlight w:val="none"/>
              </w:rPr>
              <w:t>3.方案内容及可行性较差，案例较少或没有案例的，得1分；</w:t>
            </w:r>
          </w:p>
          <w:p w14:paraId="42D7C645">
            <w:pPr>
              <w:spacing w:line="500" w:lineRule="exact"/>
              <w:ind w:left="-109" w:leftChars="-52" w:right="-107" w:rightChars="-51" w:firstLine="420" w:firstLineChars="200"/>
              <w:rPr>
                <w:rFonts w:ascii="Times New Roman" w:hAnsi="Times New Roman"/>
                <w:color w:val="auto"/>
                <w:highlight w:val="none"/>
              </w:rPr>
            </w:pPr>
            <w:r>
              <w:rPr>
                <w:rFonts w:hint="eastAsia" w:ascii="Times New Roman" w:hAnsi="Times New Roman"/>
                <w:color w:val="auto"/>
                <w:highlight w:val="none"/>
              </w:rPr>
              <w:t>4.不提供观测方案的，得0分。</w:t>
            </w:r>
          </w:p>
        </w:tc>
      </w:tr>
      <w:tr w14:paraId="16CEF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574" w:type="dxa"/>
            <w:vMerge w:val="continue"/>
            <w:vAlign w:val="center"/>
          </w:tcPr>
          <w:p w14:paraId="59BBBAF7">
            <w:pPr>
              <w:spacing w:line="500" w:lineRule="exact"/>
              <w:ind w:left="-143" w:leftChars="-76" w:right="-250" w:rightChars="-119" w:hanging="17" w:hangingChars="8"/>
              <w:jc w:val="center"/>
              <w:rPr>
                <w:rFonts w:ascii="Times New Roman" w:hAnsi="Times New Roman"/>
                <w:b/>
                <w:color w:val="auto"/>
                <w:highlight w:val="none"/>
              </w:rPr>
            </w:pPr>
          </w:p>
        </w:tc>
        <w:tc>
          <w:tcPr>
            <w:tcW w:w="1330" w:type="dxa"/>
            <w:vMerge w:val="continue"/>
            <w:vAlign w:val="center"/>
          </w:tcPr>
          <w:p w14:paraId="5BB5EC1A">
            <w:pPr>
              <w:tabs>
                <w:tab w:val="center" w:pos="4153"/>
                <w:tab w:val="right" w:pos="8306"/>
              </w:tabs>
              <w:snapToGrid w:val="0"/>
              <w:spacing w:line="500" w:lineRule="exact"/>
              <w:ind w:firstLine="210" w:firstLineChars="100"/>
              <w:jc w:val="center"/>
              <w:rPr>
                <w:rFonts w:ascii="Times New Roman" w:hAnsi="Times New Roman"/>
                <w:color w:val="auto"/>
                <w:highlight w:val="none"/>
              </w:rPr>
            </w:pPr>
          </w:p>
        </w:tc>
        <w:tc>
          <w:tcPr>
            <w:tcW w:w="1785" w:type="dxa"/>
            <w:vAlign w:val="center"/>
          </w:tcPr>
          <w:p w14:paraId="232B15C7">
            <w:pPr>
              <w:spacing w:line="500" w:lineRule="exact"/>
              <w:ind w:left="-109" w:leftChars="-52" w:right="-107" w:rightChars="-51"/>
              <w:jc w:val="center"/>
              <w:rPr>
                <w:rFonts w:ascii="Times New Roman" w:hAnsi="Times New Roman"/>
                <w:color w:val="auto"/>
                <w:highlight w:val="none"/>
              </w:rPr>
            </w:pPr>
            <w:r>
              <w:rPr>
                <w:rFonts w:hint="eastAsia" w:ascii="Times New Roman" w:hAnsi="Times New Roman"/>
                <w:color w:val="auto"/>
                <w:highlight w:val="none"/>
              </w:rPr>
              <w:t>4不同波段（</w:t>
            </w:r>
            <w:r>
              <w:rPr>
                <w:rFonts w:ascii="Times New Roman" w:hAnsi="Times New Roman"/>
                <w:color w:val="auto"/>
                <w:highlight w:val="none"/>
              </w:rPr>
              <w:t>S</w:t>
            </w:r>
            <w:r>
              <w:rPr>
                <w:rFonts w:hint="eastAsia" w:ascii="Times New Roman" w:hAnsi="Times New Roman"/>
                <w:color w:val="auto"/>
                <w:highlight w:val="none"/>
              </w:rPr>
              <w:t>、</w:t>
            </w:r>
            <w:r>
              <w:rPr>
                <w:rFonts w:ascii="Times New Roman" w:hAnsi="Times New Roman"/>
                <w:color w:val="auto"/>
                <w:highlight w:val="none"/>
              </w:rPr>
              <w:t>X</w:t>
            </w:r>
            <w:r>
              <w:rPr>
                <w:rFonts w:hint="eastAsia" w:ascii="Times New Roman" w:hAnsi="Times New Roman"/>
                <w:color w:val="auto"/>
                <w:highlight w:val="none"/>
              </w:rPr>
              <w:t>）天气雷达融合方案（5分）</w:t>
            </w:r>
          </w:p>
        </w:tc>
        <w:tc>
          <w:tcPr>
            <w:tcW w:w="6553" w:type="dxa"/>
            <w:vAlign w:val="center"/>
          </w:tcPr>
          <w:p w14:paraId="032FFD43">
            <w:pPr>
              <w:spacing w:line="500" w:lineRule="exact"/>
              <w:ind w:left="-109" w:leftChars="-52" w:right="-107" w:rightChars="-51" w:firstLine="420" w:firstLineChars="200"/>
              <w:rPr>
                <w:rFonts w:ascii="Times New Roman" w:hAnsi="Times New Roman"/>
                <w:color w:val="auto"/>
                <w:highlight w:val="none"/>
              </w:rPr>
            </w:pPr>
            <w:r>
              <w:rPr>
                <w:rFonts w:hint="eastAsia" w:ascii="Times New Roman" w:hAnsi="Times New Roman"/>
                <w:color w:val="auto"/>
                <w:highlight w:val="none"/>
              </w:rPr>
              <w:t>根据投标人提出的不同波段（S、X）雷达融合方案（方案中应包括案例）进行综合评审：</w:t>
            </w:r>
          </w:p>
          <w:p w14:paraId="23AEEC14">
            <w:pPr>
              <w:spacing w:line="500" w:lineRule="exact"/>
              <w:ind w:left="-109" w:leftChars="-52" w:right="-107" w:rightChars="-51" w:firstLine="420" w:firstLineChars="200"/>
              <w:rPr>
                <w:rFonts w:ascii="Times New Roman" w:hAnsi="Times New Roman"/>
                <w:color w:val="auto"/>
                <w:highlight w:val="none"/>
              </w:rPr>
            </w:pPr>
            <w:r>
              <w:rPr>
                <w:rFonts w:hint="eastAsia" w:ascii="Times New Roman" w:hAnsi="Times New Roman"/>
                <w:color w:val="auto"/>
                <w:highlight w:val="none"/>
              </w:rPr>
              <w:t>1.方案科学合理，有针对性、可行性强，案例丰富的，得5分；</w:t>
            </w:r>
          </w:p>
          <w:p w14:paraId="22E000A5">
            <w:pPr>
              <w:spacing w:line="500" w:lineRule="exact"/>
              <w:ind w:left="-109" w:leftChars="-52" w:right="-107" w:rightChars="-51" w:firstLine="420" w:firstLineChars="200"/>
              <w:rPr>
                <w:rFonts w:ascii="Times New Roman" w:hAnsi="Times New Roman"/>
                <w:color w:val="auto"/>
                <w:highlight w:val="none"/>
              </w:rPr>
            </w:pPr>
            <w:r>
              <w:rPr>
                <w:rFonts w:hint="eastAsia" w:ascii="Times New Roman" w:hAnsi="Times New Roman"/>
                <w:color w:val="auto"/>
                <w:highlight w:val="none"/>
              </w:rPr>
              <w:t>2.方案较为科学合理，有针对性、可行性较强，案例较为丰富的，得3分；</w:t>
            </w:r>
          </w:p>
          <w:p w14:paraId="4E1A9831">
            <w:pPr>
              <w:spacing w:line="500" w:lineRule="exact"/>
              <w:ind w:left="-109" w:leftChars="-52" w:right="-107" w:rightChars="-51" w:firstLine="420" w:firstLineChars="200"/>
              <w:rPr>
                <w:rFonts w:ascii="Times New Roman" w:hAnsi="Times New Roman"/>
                <w:color w:val="auto"/>
                <w:highlight w:val="none"/>
              </w:rPr>
            </w:pPr>
            <w:r>
              <w:rPr>
                <w:rFonts w:hint="eastAsia" w:ascii="Times New Roman" w:hAnsi="Times New Roman"/>
                <w:color w:val="auto"/>
                <w:highlight w:val="none"/>
              </w:rPr>
              <w:t>3.方案制定不够合理，可行性不强的，案例较少或没有案例的，得1分；</w:t>
            </w:r>
          </w:p>
          <w:p w14:paraId="7042DDCB">
            <w:pPr>
              <w:spacing w:line="500" w:lineRule="exact"/>
              <w:ind w:left="-109" w:leftChars="-52" w:right="-107" w:rightChars="-51" w:firstLine="420" w:firstLineChars="200"/>
              <w:rPr>
                <w:rFonts w:ascii="Times New Roman" w:hAnsi="Times New Roman"/>
                <w:color w:val="auto"/>
                <w:highlight w:val="none"/>
              </w:rPr>
            </w:pPr>
            <w:r>
              <w:rPr>
                <w:rFonts w:hint="eastAsia" w:ascii="Times New Roman" w:hAnsi="Times New Roman"/>
                <w:color w:val="auto"/>
                <w:highlight w:val="none"/>
              </w:rPr>
              <w:t>4.不提供方案的，得0分。</w:t>
            </w:r>
          </w:p>
        </w:tc>
      </w:tr>
      <w:tr w14:paraId="0420D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574" w:type="dxa"/>
            <w:vMerge w:val="continue"/>
            <w:vAlign w:val="center"/>
          </w:tcPr>
          <w:p w14:paraId="4DEB0556">
            <w:pPr>
              <w:spacing w:line="500" w:lineRule="exact"/>
              <w:ind w:left="-143" w:leftChars="-76" w:right="-250" w:rightChars="-119" w:hanging="17" w:hangingChars="8"/>
              <w:jc w:val="center"/>
              <w:rPr>
                <w:rFonts w:ascii="Times New Roman" w:hAnsi="Times New Roman"/>
                <w:b/>
                <w:color w:val="auto"/>
                <w:highlight w:val="none"/>
              </w:rPr>
            </w:pPr>
          </w:p>
        </w:tc>
        <w:tc>
          <w:tcPr>
            <w:tcW w:w="1330" w:type="dxa"/>
            <w:vMerge w:val="continue"/>
            <w:vAlign w:val="center"/>
          </w:tcPr>
          <w:p w14:paraId="63A56F20">
            <w:pPr>
              <w:tabs>
                <w:tab w:val="center" w:pos="4153"/>
                <w:tab w:val="right" w:pos="8306"/>
              </w:tabs>
              <w:snapToGrid w:val="0"/>
              <w:spacing w:line="500" w:lineRule="exact"/>
              <w:ind w:firstLine="210" w:firstLineChars="100"/>
              <w:jc w:val="center"/>
              <w:rPr>
                <w:rFonts w:ascii="Times New Roman" w:hAnsi="Times New Roman"/>
                <w:color w:val="auto"/>
                <w:highlight w:val="none"/>
              </w:rPr>
            </w:pPr>
          </w:p>
        </w:tc>
        <w:tc>
          <w:tcPr>
            <w:tcW w:w="1785" w:type="dxa"/>
            <w:vAlign w:val="center"/>
          </w:tcPr>
          <w:p w14:paraId="750FB19A">
            <w:pPr>
              <w:spacing w:line="500" w:lineRule="exact"/>
              <w:ind w:right="-107" w:rightChars="-51"/>
              <w:jc w:val="center"/>
              <w:rPr>
                <w:rFonts w:ascii="Times New Roman" w:hAnsi="Times New Roman"/>
                <w:color w:val="auto"/>
                <w:highlight w:val="none"/>
              </w:rPr>
            </w:pPr>
            <w:r>
              <w:rPr>
                <w:rFonts w:hint="eastAsia" w:ascii="Times New Roman" w:hAnsi="Times New Roman"/>
                <w:color w:val="auto"/>
                <w:highlight w:val="none"/>
              </w:rPr>
              <w:t>5项目实施方案（</w:t>
            </w:r>
            <w:r>
              <w:rPr>
                <w:rFonts w:ascii="Times New Roman" w:hAnsi="Times New Roman"/>
                <w:color w:val="auto"/>
                <w:highlight w:val="none"/>
              </w:rPr>
              <w:t>4</w:t>
            </w:r>
            <w:r>
              <w:rPr>
                <w:rFonts w:hint="eastAsia" w:ascii="Times New Roman" w:hAnsi="Times New Roman"/>
                <w:color w:val="auto"/>
                <w:highlight w:val="none"/>
              </w:rPr>
              <w:t>分）</w:t>
            </w:r>
          </w:p>
        </w:tc>
        <w:tc>
          <w:tcPr>
            <w:tcW w:w="6553" w:type="dxa"/>
            <w:vAlign w:val="center"/>
          </w:tcPr>
          <w:p w14:paraId="798950FD">
            <w:pPr>
              <w:spacing w:line="500" w:lineRule="exact"/>
              <w:ind w:left="-109" w:leftChars="-52" w:right="-107" w:rightChars="-51" w:firstLine="420" w:firstLineChars="200"/>
              <w:rPr>
                <w:rFonts w:ascii="Times New Roman" w:hAnsi="Times New Roman"/>
                <w:color w:val="auto"/>
                <w:highlight w:val="none"/>
              </w:rPr>
            </w:pPr>
            <w:r>
              <w:rPr>
                <w:rFonts w:hint="eastAsia" w:ascii="Times New Roman" w:hAnsi="Times New Roman"/>
                <w:color w:val="auto"/>
                <w:highlight w:val="none"/>
              </w:rPr>
              <w:t>根据供应商提供项目实施方案进行综合评分，实施方案中应包含①产品供货组织方案、②安装调试方案、③运行维护方案。</w:t>
            </w:r>
          </w:p>
          <w:p w14:paraId="1942F5A5">
            <w:pPr>
              <w:spacing w:line="500" w:lineRule="exact"/>
              <w:ind w:left="-109" w:leftChars="-52" w:right="-107" w:rightChars="-51" w:firstLine="420" w:firstLineChars="200"/>
              <w:rPr>
                <w:rFonts w:ascii="Times New Roman" w:hAnsi="Times New Roman"/>
                <w:color w:val="auto"/>
                <w:highlight w:val="none"/>
              </w:rPr>
            </w:pPr>
            <w:r>
              <w:rPr>
                <w:rFonts w:hint="eastAsia" w:ascii="Times New Roman" w:hAnsi="Times New Roman"/>
                <w:color w:val="auto"/>
                <w:highlight w:val="none"/>
              </w:rPr>
              <w:t>1.整体实施进度方案详实、全面可行的，得</w:t>
            </w:r>
            <w:r>
              <w:rPr>
                <w:rFonts w:ascii="Times New Roman" w:hAnsi="Times New Roman"/>
                <w:color w:val="auto"/>
                <w:highlight w:val="none"/>
              </w:rPr>
              <w:t>4</w:t>
            </w:r>
            <w:r>
              <w:rPr>
                <w:rFonts w:hint="eastAsia" w:ascii="Times New Roman" w:hAnsi="Times New Roman"/>
                <w:color w:val="auto"/>
                <w:highlight w:val="none"/>
              </w:rPr>
              <w:t>分；</w:t>
            </w:r>
          </w:p>
          <w:p w14:paraId="74D0CA5C">
            <w:pPr>
              <w:spacing w:line="500" w:lineRule="exact"/>
              <w:ind w:left="-109" w:leftChars="-52" w:right="-107" w:rightChars="-51" w:firstLine="420" w:firstLineChars="200"/>
              <w:rPr>
                <w:rFonts w:ascii="Times New Roman" w:hAnsi="Times New Roman"/>
                <w:color w:val="auto"/>
                <w:highlight w:val="none"/>
              </w:rPr>
            </w:pPr>
            <w:r>
              <w:rPr>
                <w:rFonts w:hint="eastAsia" w:ascii="Times New Roman" w:hAnsi="Times New Roman"/>
                <w:color w:val="auto"/>
                <w:highlight w:val="none"/>
              </w:rPr>
              <w:t>2.整体实施进度方案详细的，得</w:t>
            </w:r>
            <w:r>
              <w:rPr>
                <w:rFonts w:ascii="Times New Roman" w:hAnsi="Times New Roman"/>
                <w:color w:val="auto"/>
                <w:highlight w:val="none"/>
              </w:rPr>
              <w:t>2</w:t>
            </w:r>
            <w:r>
              <w:rPr>
                <w:rFonts w:hint="eastAsia" w:ascii="Times New Roman" w:hAnsi="Times New Roman"/>
                <w:color w:val="auto"/>
                <w:highlight w:val="none"/>
              </w:rPr>
              <w:t>分；</w:t>
            </w:r>
          </w:p>
          <w:p w14:paraId="7DF41477">
            <w:pPr>
              <w:spacing w:line="500" w:lineRule="exact"/>
              <w:ind w:left="-109" w:leftChars="-52" w:right="-107" w:rightChars="-51" w:firstLine="420" w:firstLineChars="200"/>
              <w:rPr>
                <w:rFonts w:ascii="Times New Roman" w:hAnsi="Times New Roman"/>
                <w:color w:val="auto"/>
                <w:highlight w:val="none"/>
              </w:rPr>
            </w:pPr>
            <w:r>
              <w:rPr>
                <w:rFonts w:hint="eastAsia" w:ascii="Times New Roman" w:hAnsi="Times New Roman"/>
                <w:color w:val="auto"/>
                <w:highlight w:val="none"/>
              </w:rPr>
              <w:t>3.整体实施进度方案简单的，得1分；</w:t>
            </w:r>
          </w:p>
          <w:p w14:paraId="34712D44">
            <w:pPr>
              <w:spacing w:line="500" w:lineRule="exact"/>
              <w:ind w:left="-109" w:leftChars="-52" w:right="-107" w:rightChars="-51" w:firstLine="420" w:firstLineChars="200"/>
              <w:rPr>
                <w:rFonts w:ascii="Times New Roman" w:hAnsi="Times New Roman"/>
                <w:color w:val="auto"/>
                <w:highlight w:val="none"/>
              </w:rPr>
            </w:pPr>
            <w:r>
              <w:rPr>
                <w:rFonts w:hint="eastAsia" w:ascii="Times New Roman" w:hAnsi="Times New Roman"/>
                <w:color w:val="auto"/>
                <w:highlight w:val="none"/>
              </w:rPr>
              <w:t>4.不提供方案或方案内容缺项或明显不符合本项目要求的，得0分。</w:t>
            </w:r>
          </w:p>
        </w:tc>
      </w:tr>
      <w:tr w14:paraId="04FC5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574" w:type="dxa"/>
            <w:vMerge w:val="continue"/>
            <w:vAlign w:val="center"/>
          </w:tcPr>
          <w:p w14:paraId="05573EE7">
            <w:pPr>
              <w:spacing w:line="500" w:lineRule="exact"/>
              <w:ind w:left="-143" w:leftChars="-76" w:right="-250" w:rightChars="-119" w:hanging="17" w:hangingChars="8"/>
              <w:jc w:val="center"/>
              <w:rPr>
                <w:rFonts w:ascii="Times New Roman" w:hAnsi="Times New Roman"/>
                <w:b/>
                <w:color w:val="auto"/>
                <w:highlight w:val="none"/>
              </w:rPr>
            </w:pPr>
          </w:p>
        </w:tc>
        <w:tc>
          <w:tcPr>
            <w:tcW w:w="1330" w:type="dxa"/>
            <w:vMerge w:val="continue"/>
            <w:vAlign w:val="center"/>
          </w:tcPr>
          <w:p w14:paraId="1300CE45">
            <w:pPr>
              <w:tabs>
                <w:tab w:val="center" w:pos="4153"/>
                <w:tab w:val="right" w:pos="8306"/>
              </w:tabs>
              <w:snapToGrid w:val="0"/>
              <w:spacing w:line="500" w:lineRule="exact"/>
              <w:ind w:firstLine="210" w:firstLineChars="100"/>
              <w:jc w:val="center"/>
              <w:rPr>
                <w:rFonts w:ascii="Times New Roman" w:hAnsi="Times New Roman"/>
                <w:color w:val="auto"/>
                <w:highlight w:val="none"/>
              </w:rPr>
            </w:pPr>
          </w:p>
        </w:tc>
        <w:tc>
          <w:tcPr>
            <w:tcW w:w="1785" w:type="dxa"/>
            <w:vAlign w:val="center"/>
          </w:tcPr>
          <w:p w14:paraId="4D2DA1C3">
            <w:pPr>
              <w:spacing w:line="500" w:lineRule="exact"/>
              <w:ind w:left="-109" w:leftChars="-52" w:right="-107" w:rightChars="-51"/>
              <w:jc w:val="center"/>
              <w:rPr>
                <w:rFonts w:ascii="Times New Roman" w:hAnsi="Times New Roman"/>
                <w:color w:val="auto"/>
                <w:highlight w:val="none"/>
              </w:rPr>
            </w:pPr>
            <w:r>
              <w:rPr>
                <w:rFonts w:hint="eastAsia" w:ascii="Times New Roman" w:hAnsi="Times New Roman"/>
                <w:color w:val="auto"/>
                <w:highlight w:val="none"/>
              </w:rPr>
              <w:t>6质量保证措施方案（</w:t>
            </w:r>
            <w:r>
              <w:rPr>
                <w:rFonts w:ascii="Times New Roman" w:hAnsi="Times New Roman"/>
                <w:color w:val="auto"/>
                <w:highlight w:val="none"/>
              </w:rPr>
              <w:t>4</w:t>
            </w:r>
            <w:r>
              <w:rPr>
                <w:rFonts w:hint="eastAsia" w:ascii="Times New Roman" w:hAnsi="Times New Roman"/>
                <w:color w:val="auto"/>
                <w:highlight w:val="none"/>
              </w:rPr>
              <w:t>分）</w:t>
            </w:r>
          </w:p>
        </w:tc>
        <w:tc>
          <w:tcPr>
            <w:tcW w:w="6553" w:type="dxa"/>
            <w:vAlign w:val="center"/>
          </w:tcPr>
          <w:p w14:paraId="412B5417">
            <w:pPr>
              <w:spacing w:line="500" w:lineRule="exact"/>
              <w:ind w:left="-109" w:leftChars="-52" w:right="-107" w:rightChars="-51" w:firstLine="420" w:firstLineChars="200"/>
              <w:rPr>
                <w:rFonts w:ascii="Times New Roman" w:hAnsi="Times New Roman"/>
                <w:color w:val="auto"/>
                <w:highlight w:val="none"/>
              </w:rPr>
            </w:pPr>
            <w:r>
              <w:rPr>
                <w:rFonts w:hint="eastAsia" w:ascii="Times New Roman" w:hAnsi="Times New Roman"/>
                <w:color w:val="auto"/>
                <w:highlight w:val="none"/>
              </w:rPr>
              <w:t>根据供应商的质量保证措施方案进行综合评分：</w:t>
            </w:r>
          </w:p>
          <w:p w14:paraId="6F03EE9F">
            <w:pPr>
              <w:spacing w:line="500" w:lineRule="exact"/>
              <w:ind w:left="-109" w:leftChars="-52" w:right="-107" w:rightChars="-51" w:firstLine="420" w:firstLineChars="200"/>
              <w:rPr>
                <w:rFonts w:ascii="Times New Roman" w:hAnsi="Times New Roman"/>
                <w:color w:val="auto"/>
                <w:highlight w:val="none"/>
              </w:rPr>
            </w:pPr>
            <w:r>
              <w:rPr>
                <w:rFonts w:hint="eastAsia" w:ascii="Times New Roman" w:hAnsi="Times New Roman"/>
                <w:color w:val="auto"/>
                <w:highlight w:val="none"/>
              </w:rPr>
              <w:t>1.内容全面、详尽，针对性很强、措施合理有效、完全满足项目需求的，得</w:t>
            </w:r>
            <w:r>
              <w:rPr>
                <w:rFonts w:ascii="Times New Roman" w:hAnsi="Times New Roman"/>
                <w:color w:val="auto"/>
                <w:highlight w:val="none"/>
              </w:rPr>
              <w:t>4</w:t>
            </w:r>
            <w:r>
              <w:rPr>
                <w:rFonts w:hint="eastAsia" w:ascii="Times New Roman" w:hAnsi="Times New Roman"/>
                <w:color w:val="auto"/>
                <w:highlight w:val="none"/>
              </w:rPr>
              <w:t>分；</w:t>
            </w:r>
          </w:p>
          <w:p w14:paraId="1CB4F283">
            <w:pPr>
              <w:spacing w:line="500" w:lineRule="exact"/>
              <w:ind w:left="-109" w:leftChars="-52" w:right="-107" w:rightChars="-51" w:firstLine="420" w:firstLineChars="200"/>
              <w:rPr>
                <w:rFonts w:ascii="Times New Roman" w:hAnsi="Times New Roman"/>
                <w:color w:val="auto"/>
                <w:highlight w:val="none"/>
              </w:rPr>
            </w:pPr>
            <w:r>
              <w:rPr>
                <w:rFonts w:hint="eastAsia" w:ascii="Times New Roman" w:hAnsi="Times New Roman"/>
                <w:color w:val="auto"/>
                <w:highlight w:val="none"/>
              </w:rPr>
              <w:t>2.内容全面较详尽，针对性强、措施合理有效、基本满足项目需求的，得</w:t>
            </w:r>
            <w:r>
              <w:rPr>
                <w:rFonts w:ascii="Times New Roman" w:hAnsi="Times New Roman"/>
                <w:color w:val="auto"/>
                <w:highlight w:val="none"/>
              </w:rPr>
              <w:t>2</w:t>
            </w:r>
            <w:r>
              <w:rPr>
                <w:rFonts w:hint="eastAsia" w:ascii="Times New Roman" w:hAnsi="Times New Roman"/>
                <w:color w:val="auto"/>
                <w:highlight w:val="none"/>
              </w:rPr>
              <w:t>分；</w:t>
            </w:r>
          </w:p>
          <w:p w14:paraId="0AFA712F">
            <w:pPr>
              <w:spacing w:line="500" w:lineRule="exact"/>
              <w:ind w:left="-109" w:leftChars="-52" w:right="-107" w:rightChars="-51" w:firstLine="420" w:firstLineChars="200"/>
              <w:rPr>
                <w:rFonts w:ascii="Times New Roman" w:hAnsi="Times New Roman"/>
                <w:color w:val="auto"/>
                <w:highlight w:val="none"/>
              </w:rPr>
            </w:pPr>
            <w:r>
              <w:rPr>
                <w:rFonts w:hint="eastAsia" w:ascii="Times New Roman" w:hAnsi="Times New Roman"/>
                <w:color w:val="auto"/>
                <w:highlight w:val="none"/>
              </w:rPr>
              <w:t>3.内容完善但详尽程度欠佳，针对性一般、措施基本合理有效、满足项目需求程度较弱的，得1分。</w:t>
            </w:r>
          </w:p>
          <w:p w14:paraId="456843FE">
            <w:pPr>
              <w:spacing w:line="500" w:lineRule="exact"/>
              <w:ind w:left="-109" w:leftChars="-52" w:right="-107" w:rightChars="-51" w:firstLine="420" w:firstLineChars="200"/>
              <w:rPr>
                <w:rFonts w:ascii="Times New Roman" w:hAnsi="Times New Roman"/>
                <w:color w:val="auto"/>
                <w:highlight w:val="none"/>
              </w:rPr>
            </w:pPr>
            <w:r>
              <w:rPr>
                <w:rFonts w:hint="eastAsia" w:ascii="Times New Roman" w:hAnsi="Times New Roman"/>
                <w:color w:val="auto"/>
                <w:highlight w:val="none"/>
              </w:rPr>
              <w:t>4.不提供方案或明显不符合本项目要求的，得0分。</w:t>
            </w:r>
          </w:p>
        </w:tc>
      </w:tr>
      <w:tr w14:paraId="7B44A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trPr>
        <w:tc>
          <w:tcPr>
            <w:tcW w:w="574" w:type="dxa"/>
            <w:vMerge w:val="continue"/>
            <w:vAlign w:val="center"/>
          </w:tcPr>
          <w:p w14:paraId="3CF8461E">
            <w:pPr>
              <w:spacing w:line="500" w:lineRule="exact"/>
              <w:ind w:left="-143" w:leftChars="-76" w:right="-250" w:rightChars="-119" w:hanging="17" w:hangingChars="8"/>
              <w:jc w:val="center"/>
              <w:rPr>
                <w:rFonts w:ascii="Times New Roman" w:hAnsi="Times New Roman"/>
                <w:b/>
                <w:color w:val="auto"/>
                <w:highlight w:val="none"/>
              </w:rPr>
            </w:pPr>
          </w:p>
        </w:tc>
        <w:tc>
          <w:tcPr>
            <w:tcW w:w="1330" w:type="dxa"/>
            <w:vMerge w:val="continue"/>
            <w:vAlign w:val="center"/>
          </w:tcPr>
          <w:p w14:paraId="64524BBF">
            <w:pPr>
              <w:tabs>
                <w:tab w:val="center" w:pos="4153"/>
                <w:tab w:val="right" w:pos="8306"/>
              </w:tabs>
              <w:snapToGrid w:val="0"/>
              <w:spacing w:line="500" w:lineRule="exact"/>
              <w:jc w:val="center"/>
              <w:rPr>
                <w:rFonts w:ascii="Times New Roman" w:hAnsi="Times New Roman"/>
                <w:color w:val="auto"/>
                <w:highlight w:val="none"/>
              </w:rPr>
            </w:pPr>
          </w:p>
        </w:tc>
        <w:tc>
          <w:tcPr>
            <w:tcW w:w="1785" w:type="dxa"/>
            <w:vAlign w:val="center"/>
          </w:tcPr>
          <w:p w14:paraId="05BB5ECC">
            <w:pPr>
              <w:spacing w:line="500" w:lineRule="exact"/>
              <w:ind w:right="-107" w:rightChars="-51"/>
              <w:jc w:val="center"/>
              <w:rPr>
                <w:rFonts w:ascii="Times New Roman" w:hAnsi="Times New Roman"/>
                <w:color w:val="auto"/>
                <w:highlight w:val="none"/>
              </w:rPr>
            </w:pPr>
            <w:r>
              <w:rPr>
                <w:rFonts w:hint="eastAsia" w:ascii="Times New Roman" w:hAnsi="Times New Roman"/>
                <w:color w:val="auto"/>
                <w:highlight w:val="none"/>
              </w:rPr>
              <w:t>7进度保证措施（</w:t>
            </w:r>
            <w:r>
              <w:rPr>
                <w:rFonts w:ascii="Times New Roman" w:hAnsi="Times New Roman"/>
                <w:color w:val="auto"/>
                <w:highlight w:val="none"/>
              </w:rPr>
              <w:t>4</w:t>
            </w:r>
            <w:r>
              <w:rPr>
                <w:rFonts w:hint="eastAsia" w:ascii="Times New Roman" w:hAnsi="Times New Roman"/>
                <w:color w:val="auto"/>
                <w:highlight w:val="none"/>
              </w:rPr>
              <w:t>分）</w:t>
            </w:r>
          </w:p>
        </w:tc>
        <w:tc>
          <w:tcPr>
            <w:tcW w:w="6553" w:type="dxa"/>
            <w:vAlign w:val="center"/>
          </w:tcPr>
          <w:p w14:paraId="729016C6">
            <w:pPr>
              <w:spacing w:line="500" w:lineRule="exact"/>
              <w:ind w:left="-109" w:leftChars="-52" w:right="-107" w:rightChars="-51" w:firstLine="420" w:firstLineChars="200"/>
              <w:rPr>
                <w:rFonts w:ascii="Times New Roman" w:hAnsi="Times New Roman"/>
                <w:color w:val="auto"/>
                <w:highlight w:val="none"/>
              </w:rPr>
            </w:pPr>
            <w:r>
              <w:rPr>
                <w:rFonts w:hint="eastAsia" w:ascii="Times New Roman" w:hAnsi="Times New Roman"/>
                <w:color w:val="auto"/>
                <w:highlight w:val="none"/>
              </w:rPr>
              <w:t>投标人针对本项目提出科学合理，针对性强的进度保证措施方案（包含但不限于人员组织及分工、工序、时间节点、检测验收等）：</w:t>
            </w:r>
          </w:p>
          <w:p w14:paraId="55EFB371">
            <w:pPr>
              <w:spacing w:line="500" w:lineRule="exact"/>
              <w:ind w:left="-109" w:leftChars="-52" w:right="-107" w:rightChars="-51" w:firstLine="420" w:firstLineChars="200"/>
              <w:rPr>
                <w:rFonts w:ascii="Times New Roman" w:hAnsi="Times New Roman"/>
                <w:color w:val="auto"/>
                <w:highlight w:val="none"/>
              </w:rPr>
            </w:pPr>
            <w:r>
              <w:rPr>
                <w:rFonts w:hint="eastAsia" w:ascii="Times New Roman" w:hAnsi="Times New Roman"/>
                <w:color w:val="auto"/>
                <w:highlight w:val="none"/>
              </w:rPr>
              <w:t>1.内容合理，分工科学、总进度满足需求、工序安排切实可行、完成时间明确、检验验收工作能满足要求，得</w:t>
            </w:r>
            <w:r>
              <w:rPr>
                <w:rFonts w:ascii="Times New Roman" w:hAnsi="Times New Roman"/>
                <w:color w:val="auto"/>
                <w:highlight w:val="none"/>
              </w:rPr>
              <w:t>4</w:t>
            </w:r>
            <w:r>
              <w:rPr>
                <w:rFonts w:hint="eastAsia" w:ascii="Times New Roman" w:hAnsi="Times New Roman"/>
                <w:color w:val="auto"/>
                <w:highlight w:val="none"/>
              </w:rPr>
              <w:t>分；</w:t>
            </w:r>
          </w:p>
          <w:p w14:paraId="605517EE">
            <w:pPr>
              <w:spacing w:line="500" w:lineRule="exact"/>
              <w:ind w:left="-109" w:leftChars="-52" w:right="-107" w:rightChars="-51" w:firstLine="420" w:firstLineChars="200"/>
              <w:rPr>
                <w:rFonts w:ascii="Times New Roman" w:hAnsi="Times New Roman"/>
                <w:color w:val="auto"/>
                <w:highlight w:val="none"/>
              </w:rPr>
            </w:pPr>
            <w:r>
              <w:rPr>
                <w:rFonts w:hint="eastAsia" w:ascii="Times New Roman" w:hAnsi="Times New Roman"/>
                <w:color w:val="auto"/>
                <w:highlight w:val="none"/>
              </w:rPr>
              <w:t>2.内容较合理，分工较科学、总进度能满足需求、工序安排较为切实可行、完成时间较为明确、检验验收工作较能满足要求，得</w:t>
            </w:r>
            <w:r>
              <w:rPr>
                <w:rFonts w:ascii="Times New Roman" w:hAnsi="Times New Roman"/>
                <w:color w:val="auto"/>
                <w:highlight w:val="none"/>
              </w:rPr>
              <w:t>2</w:t>
            </w:r>
            <w:r>
              <w:rPr>
                <w:rFonts w:hint="eastAsia" w:ascii="Times New Roman" w:hAnsi="Times New Roman"/>
                <w:color w:val="auto"/>
                <w:highlight w:val="none"/>
              </w:rPr>
              <w:t>分；</w:t>
            </w:r>
          </w:p>
          <w:p w14:paraId="3FAEA6BA">
            <w:pPr>
              <w:spacing w:line="500" w:lineRule="exact"/>
              <w:ind w:left="-109" w:leftChars="-52" w:right="-107" w:rightChars="-51" w:firstLine="420" w:firstLineChars="200"/>
              <w:rPr>
                <w:rFonts w:ascii="Times New Roman" w:hAnsi="Times New Roman"/>
                <w:color w:val="auto"/>
                <w:highlight w:val="none"/>
              </w:rPr>
            </w:pPr>
            <w:r>
              <w:rPr>
                <w:rFonts w:hint="eastAsia" w:ascii="Times New Roman" w:hAnsi="Times New Roman"/>
                <w:color w:val="auto"/>
                <w:highlight w:val="none"/>
              </w:rPr>
              <w:t>3.内容基本合理，分工科学性一般、总进度基本能满足需求、工序安排基本切实可行、完成时间一般、检验验收工作基本能满足要求，得1分；</w:t>
            </w:r>
          </w:p>
          <w:p w14:paraId="4F86FDDB">
            <w:pPr>
              <w:spacing w:line="500" w:lineRule="exact"/>
              <w:ind w:left="-109" w:leftChars="-52" w:right="-107" w:rightChars="-51" w:firstLine="420" w:firstLineChars="200"/>
              <w:rPr>
                <w:rFonts w:ascii="Times New Roman" w:hAnsi="Times New Roman"/>
                <w:color w:val="auto"/>
                <w:highlight w:val="none"/>
              </w:rPr>
            </w:pPr>
            <w:r>
              <w:rPr>
                <w:rFonts w:hint="eastAsia" w:ascii="Times New Roman" w:hAnsi="Times New Roman"/>
                <w:color w:val="auto"/>
                <w:highlight w:val="none"/>
              </w:rPr>
              <w:t>4.不提供方案或明显不符合本项目特征的，得0分。</w:t>
            </w:r>
          </w:p>
        </w:tc>
      </w:tr>
      <w:tr w14:paraId="3E612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trPr>
        <w:tc>
          <w:tcPr>
            <w:tcW w:w="574" w:type="dxa"/>
            <w:vMerge w:val="continue"/>
            <w:vAlign w:val="center"/>
          </w:tcPr>
          <w:p w14:paraId="15C56CFA">
            <w:pPr>
              <w:spacing w:line="500" w:lineRule="exact"/>
              <w:ind w:left="-143" w:leftChars="-76" w:right="-250" w:rightChars="-119" w:hanging="17" w:hangingChars="8"/>
              <w:jc w:val="center"/>
              <w:rPr>
                <w:rFonts w:ascii="Times New Roman" w:hAnsi="Times New Roman"/>
                <w:b/>
                <w:color w:val="auto"/>
                <w:highlight w:val="none"/>
              </w:rPr>
            </w:pPr>
          </w:p>
        </w:tc>
        <w:tc>
          <w:tcPr>
            <w:tcW w:w="1330" w:type="dxa"/>
            <w:vMerge w:val="continue"/>
            <w:vAlign w:val="center"/>
          </w:tcPr>
          <w:p w14:paraId="747492BB">
            <w:pPr>
              <w:tabs>
                <w:tab w:val="center" w:pos="4153"/>
                <w:tab w:val="right" w:pos="8306"/>
              </w:tabs>
              <w:snapToGrid w:val="0"/>
              <w:spacing w:line="500" w:lineRule="exact"/>
              <w:jc w:val="center"/>
              <w:rPr>
                <w:rFonts w:ascii="Times New Roman" w:hAnsi="Times New Roman"/>
                <w:color w:val="auto"/>
                <w:highlight w:val="none"/>
              </w:rPr>
            </w:pPr>
          </w:p>
        </w:tc>
        <w:tc>
          <w:tcPr>
            <w:tcW w:w="1785" w:type="dxa"/>
            <w:vAlign w:val="center"/>
          </w:tcPr>
          <w:p w14:paraId="1C773F3B">
            <w:pPr>
              <w:spacing w:line="500" w:lineRule="exact"/>
              <w:ind w:right="-107" w:rightChars="-51"/>
              <w:jc w:val="center"/>
              <w:rPr>
                <w:rFonts w:ascii="Times New Roman" w:hAnsi="Times New Roman"/>
                <w:color w:val="auto"/>
                <w:highlight w:val="none"/>
              </w:rPr>
            </w:pPr>
            <w:r>
              <w:rPr>
                <w:rFonts w:hint="eastAsia" w:ascii="Times New Roman" w:hAnsi="Times New Roman"/>
                <w:color w:val="auto"/>
                <w:highlight w:val="none"/>
              </w:rPr>
              <w:t>8投标产品环境适应性（</w:t>
            </w:r>
            <w:r>
              <w:rPr>
                <w:rFonts w:ascii="Times New Roman" w:hAnsi="Times New Roman"/>
                <w:color w:val="auto"/>
                <w:highlight w:val="none"/>
              </w:rPr>
              <w:t>4</w:t>
            </w:r>
            <w:r>
              <w:rPr>
                <w:rFonts w:hint="eastAsia" w:ascii="Times New Roman" w:hAnsi="Times New Roman"/>
                <w:color w:val="auto"/>
                <w:highlight w:val="none"/>
              </w:rPr>
              <w:t>分）</w:t>
            </w:r>
          </w:p>
        </w:tc>
        <w:tc>
          <w:tcPr>
            <w:tcW w:w="6553" w:type="dxa"/>
            <w:vAlign w:val="center"/>
          </w:tcPr>
          <w:p w14:paraId="55A9BDD6">
            <w:pPr>
              <w:spacing w:line="500" w:lineRule="exact"/>
              <w:ind w:left="-109" w:leftChars="-52" w:right="-107" w:rightChars="-51" w:firstLine="420" w:firstLineChars="200"/>
              <w:rPr>
                <w:rFonts w:ascii="Times New Roman" w:hAnsi="Times New Roman"/>
                <w:color w:val="auto"/>
                <w:highlight w:val="none"/>
              </w:rPr>
            </w:pPr>
            <w:r>
              <w:rPr>
                <w:rFonts w:hint="eastAsia" w:ascii="Times New Roman" w:hAnsi="Times New Roman"/>
                <w:color w:val="auto"/>
                <w:highlight w:val="none"/>
              </w:rPr>
              <w:t>投标人提供投标雷达产品的环境适应性方案：</w:t>
            </w:r>
          </w:p>
          <w:p w14:paraId="421EEF79">
            <w:pPr>
              <w:spacing w:line="500" w:lineRule="exact"/>
              <w:ind w:left="-109" w:leftChars="-52" w:right="-107" w:rightChars="-51" w:firstLine="420" w:firstLineChars="200"/>
              <w:rPr>
                <w:rFonts w:ascii="Times New Roman" w:hAnsi="Times New Roman"/>
                <w:color w:val="auto"/>
                <w:highlight w:val="none"/>
              </w:rPr>
            </w:pPr>
            <w:r>
              <w:rPr>
                <w:rFonts w:hint="eastAsia" w:ascii="Times New Roman" w:hAnsi="Times New Roman"/>
                <w:color w:val="auto"/>
                <w:highlight w:val="none"/>
              </w:rPr>
              <w:t>1.内容全面、详尽，针对性很强、方法合理有效、完全满足项目需求的，得</w:t>
            </w:r>
            <w:r>
              <w:rPr>
                <w:rFonts w:ascii="Times New Roman" w:hAnsi="Times New Roman"/>
                <w:color w:val="auto"/>
                <w:highlight w:val="none"/>
              </w:rPr>
              <w:t>4</w:t>
            </w:r>
            <w:r>
              <w:rPr>
                <w:rFonts w:hint="eastAsia" w:ascii="Times New Roman" w:hAnsi="Times New Roman"/>
                <w:color w:val="auto"/>
                <w:highlight w:val="none"/>
              </w:rPr>
              <w:t>分；</w:t>
            </w:r>
          </w:p>
          <w:p w14:paraId="489ACEE2">
            <w:pPr>
              <w:spacing w:line="500" w:lineRule="exact"/>
              <w:ind w:left="-109" w:leftChars="-52" w:right="-107" w:rightChars="-51" w:firstLine="420" w:firstLineChars="200"/>
              <w:rPr>
                <w:rFonts w:ascii="Times New Roman" w:hAnsi="Times New Roman"/>
                <w:color w:val="auto"/>
                <w:highlight w:val="none"/>
              </w:rPr>
            </w:pPr>
            <w:r>
              <w:rPr>
                <w:rFonts w:hint="eastAsia" w:ascii="Times New Roman" w:hAnsi="Times New Roman"/>
                <w:color w:val="auto"/>
                <w:highlight w:val="none"/>
              </w:rPr>
              <w:t>2.内容全面较详尽，针对性强、方法合理有效、基本满足项目需求的，得</w:t>
            </w:r>
            <w:r>
              <w:rPr>
                <w:rFonts w:ascii="Times New Roman" w:hAnsi="Times New Roman"/>
                <w:color w:val="auto"/>
                <w:highlight w:val="none"/>
              </w:rPr>
              <w:t>2</w:t>
            </w:r>
            <w:r>
              <w:rPr>
                <w:rFonts w:hint="eastAsia" w:ascii="Times New Roman" w:hAnsi="Times New Roman"/>
                <w:color w:val="auto"/>
                <w:highlight w:val="none"/>
              </w:rPr>
              <w:t>分；</w:t>
            </w:r>
          </w:p>
          <w:p w14:paraId="09F48904">
            <w:pPr>
              <w:spacing w:line="500" w:lineRule="exact"/>
              <w:ind w:left="-109" w:leftChars="-52" w:right="-107" w:rightChars="-51" w:firstLine="420" w:firstLineChars="200"/>
              <w:rPr>
                <w:rFonts w:ascii="Times New Roman" w:hAnsi="Times New Roman"/>
                <w:color w:val="auto"/>
                <w:highlight w:val="none"/>
              </w:rPr>
            </w:pPr>
            <w:r>
              <w:rPr>
                <w:rFonts w:hint="eastAsia" w:ascii="Times New Roman" w:hAnsi="Times New Roman"/>
                <w:color w:val="auto"/>
                <w:highlight w:val="none"/>
              </w:rPr>
              <w:t>3.内容完善但详尽程度欠佳，针对性一般、方法基本合理有效、满足项目需求程度较弱的，得1分。</w:t>
            </w:r>
          </w:p>
          <w:p w14:paraId="59BA2DE7">
            <w:pPr>
              <w:spacing w:line="500" w:lineRule="exact"/>
              <w:ind w:left="-109" w:leftChars="-52" w:right="-107" w:rightChars="-51" w:firstLine="420" w:firstLineChars="200"/>
              <w:rPr>
                <w:rFonts w:ascii="Times New Roman" w:hAnsi="Times New Roman"/>
                <w:color w:val="auto"/>
                <w:highlight w:val="none"/>
              </w:rPr>
            </w:pPr>
            <w:r>
              <w:rPr>
                <w:rFonts w:hint="eastAsia" w:ascii="Times New Roman" w:hAnsi="Times New Roman"/>
                <w:color w:val="auto"/>
                <w:highlight w:val="none"/>
              </w:rPr>
              <w:t>4.不提供方案或明显不符合本项目要求的，得0分。</w:t>
            </w:r>
          </w:p>
        </w:tc>
      </w:tr>
      <w:tr w14:paraId="7D509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574" w:type="dxa"/>
            <w:vMerge w:val="continue"/>
            <w:vAlign w:val="center"/>
          </w:tcPr>
          <w:p w14:paraId="1E847CD6">
            <w:pPr>
              <w:spacing w:line="500" w:lineRule="exact"/>
              <w:ind w:left="-143" w:leftChars="-76" w:right="-250" w:rightChars="-119" w:hanging="17" w:hangingChars="8"/>
              <w:jc w:val="center"/>
              <w:rPr>
                <w:rFonts w:ascii="Times New Roman" w:hAnsi="Times New Roman"/>
                <w:b/>
                <w:color w:val="auto"/>
                <w:highlight w:val="none"/>
              </w:rPr>
            </w:pPr>
          </w:p>
        </w:tc>
        <w:tc>
          <w:tcPr>
            <w:tcW w:w="1330" w:type="dxa"/>
            <w:vMerge w:val="continue"/>
            <w:vAlign w:val="center"/>
          </w:tcPr>
          <w:p w14:paraId="2B169911">
            <w:pPr>
              <w:tabs>
                <w:tab w:val="center" w:pos="4153"/>
                <w:tab w:val="right" w:pos="8306"/>
              </w:tabs>
              <w:snapToGrid w:val="0"/>
              <w:spacing w:line="500" w:lineRule="exact"/>
              <w:jc w:val="center"/>
              <w:rPr>
                <w:rFonts w:ascii="Times New Roman" w:hAnsi="Times New Roman"/>
                <w:color w:val="auto"/>
                <w:highlight w:val="none"/>
              </w:rPr>
            </w:pPr>
          </w:p>
        </w:tc>
        <w:tc>
          <w:tcPr>
            <w:tcW w:w="1785" w:type="dxa"/>
            <w:vAlign w:val="center"/>
          </w:tcPr>
          <w:p w14:paraId="3992B961">
            <w:pPr>
              <w:spacing w:line="500" w:lineRule="exact"/>
              <w:ind w:right="-107" w:rightChars="-51"/>
              <w:jc w:val="center"/>
              <w:rPr>
                <w:rFonts w:ascii="Times New Roman" w:hAnsi="Times New Roman"/>
                <w:color w:val="auto"/>
                <w:highlight w:val="none"/>
              </w:rPr>
            </w:pPr>
            <w:r>
              <w:rPr>
                <w:rFonts w:hint="eastAsia" w:ascii="Times New Roman" w:hAnsi="Times New Roman"/>
                <w:color w:val="auto"/>
                <w:highlight w:val="none"/>
              </w:rPr>
              <w:t>9投标产品标校方案（</w:t>
            </w:r>
            <w:r>
              <w:rPr>
                <w:rFonts w:ascii="Times New Roman" w:hAnsi="Times New Roman"/>
                <w:color w:val="auto"/>
                <w:highlight w:val="none"/>
              </w:rPr>
              <w:t>4</w:t>
            </w:r>
            <w:r>
              <w:rPr>
                <w:rFonts w:hint="eastAsia" w:ascii="Times New Roman" w:hAnsi="Times New Roman"/>
                <w:color w:val="auto"/>
                <w:highlight w:val="none"/>
              </w:rPr>
              <w:t>分）</w:t>
            </w:r>
          </w:p>
        </w:tc>
        <w:tc>
          <w:tcPr>
            <w:tcW w:w="6553" w:type="dxa"/>
            <w:vAlign w:val="center"/>
          </w:tcPr>
          <w:p w14:paraId="3E7A2367">
            <w:pPr>
              <w:spacing w:line="500" w:lineRule="exact"/>
              <w:ind w:left="-109" w:leftChars="-52" w:right="-107" w:rightChars="-51" w:firstLine="420" w:firstLineChars="200"/>
              <w:rPr>
                <w:rFonts w:ascii="Times New Roman" w:hAnsi="Times New Roman"/>
                <w:color w:val="auto"/>
                <w:highlight w:val="none"/>
              </w:rPr>
            </w:pPr>
            <w:r>
              <w:rPr>
                <w:rFonts w:hint="eastAsia" w:ascii="Times New Roman" w:hAnsi="Times New Roman"/>
                <w:color w:val="auto"/>
                <w:highlight w:val="none"/>
              </w:rPr>
              <w:t>投标人提供投标雷达产品的标校方案：</w:t>
            </w:r>
          </w:p>
          <w:p w14:paraId="4BFDC111">
            <w:pPr>
              <w:spacing w:line="500" w:lineRule="exact"/>
              <w:ind w:left="-109" w:leftChars="-52" w:right="-107" w:rightChars="-51" w:firstLine="420" w:firstLineChars="200"/>
              <w:rPr>
                <w:rFonts w:ascii="Times New Roman" w:hAnsi="Times New Roman"/>
                <w:color w:val="auto"/>
                <w:highlight w:val="none"/>
              </w:rPr>
            </w:pPr>
            <w:r>
              <w:rPr>
                <w:rFonts w:hint="eastAsia" w:ascii="Times New Roman" w:hAnsi="Times New Roman"/>
                <w:color w:val="auto"/>
                <w:highlight w:val="none"/>
              </w:rPr>
              <w:t>1.内容全面、详尽，针对性很强、方法合理有效、完全满足项目需求的，得</w:t>
            </w:r>
            <w:r>
              <w:rPr>
                <w:rFonts w:ascii="Times New Roman" w:hAnsi="Times New Roman"/>
                <w:color w:val="auto"/>
                <w:highlight w:val="none"/>
              </w:rPr>
              <w:t>4</w:t>
            </w:r>
            <w:r>
              <w:rPr>
                <w:rFonts w:hint="eastAsia" w:ascii="Times New Roman" w:hAnsi="Times New Roman"/>
                <w:color w:val="auto"/>
                <w:highlight w:val="none"/>
              </w:rPr>
              <w:t>分；</w:t>
            </w:r>
          </w:p>
          <w:p w14:paraId="385C8F74">
            <w:pPr>
              <w:spacing w:line="500" w:lineRule="exact"/>
              <w:ind w:left="-109" w:leftChars="-52" w:right="-107" w:rightChars="-51" w:firstLine="420" w:firstLineChars="200"/>
              <w:rPr>
                <w:rFonts w:ascii="Times New Roman" w:hAnsi="Times New Roman"/>
                <w:color w:val="auto"/>
                <w:highlight w:val="none"/>
              </w:rPr>
            </w:pPr>
            <w:r>
              <w:rPr>
                <w:rFonts w:hint="eastAsia" w:ascii="Times New Roman" w:hAnsi="Times New Roman"/>
                <w:color w:val="auto"/>
                <w:highlight w:val="none"/>
              </w:rPr>
              <w:t>2.内容全面较详尽，针对性强、方法合理有效、基本满足项目需求的，得</w:t>
            </w:r>
            <w:r>
              <w:rPr>
                <w:rFonts w:ascii="Times New Roman" w:hAnsi="Times New Roman"/>
                <w:color w:val="auto"/>
                <w:highlight w:val="none"/>
              </w:rPr>
              <w:t>2</w:t>
            </w:r>
            <w:r>
              <w:rPr>
                <w:rFonts w:hint="eastAsia" w:ascii="Times New Roman" w:hAnsi="Times New Roman"/>
                <w:color w:val="auto"/>
                <w:highlight w:val="none"/>
              </w:rPr>
              <w:t>分；</w:t>
            </w:r>
          </w:p>
          <w:p w14:paraId="04A74D7C">
            <w:pPr>
              <w:spacing w:line="500" w:lineRule="exact"/>
              <w:ind w:left="-109" w:leftChars="-52" w:right="-107" w:rightChars="-51" w:firstLine="420" w:firstLineChars="200"/>
              <w:rPr>
                <w:rFonts w:ascii="Times New Roman" w:hAnsi="Times New Roman"/>
                <w:color w:val="auto"/>
                <w:highlight w:val="none"/>
              </w:rPr>
            </w:pPr>
            <w:r>
              <w:rPr>
                <w:rFonts w:hint="eastAsia" w:ascii="Times New Roman" w:hAnsi="Times New Roman"/>
                <w:color w:val="auto"/>
                <w:highlight w:val="none"/>
              </w:rPr>
              <w:t>3.内容完善但详尽程度欠佳，针对性一般、方法基本合理有效、满足项目需求程度较弱的，得1分。</w:t>
            </w:r>
          </w:p>
          <w:p w14:paraId="6264561E">
            <w:pPr>
              <w:spacing w:line="500" w:lineRule="exact"/>
              <w:ind w:left="-109" w:leftChars="-52" w:right="-107" w:rightChars="-51" w:firstLine="420" w:firstLineChars="200"/>
              <w:rPr>
                <w:rFonts w:ascii="Times New Roman" w:hAnsi="Times New Roman"/>
                <w:color w:val="auto"/>
                <w:highlight w:val="none"/>
              </w:rPr>
            </w:pPr>
            <w:r>
              <w:rPr>
                <w:rFonts w:hint="eastAsia" w:ascii="Times New Roman" w:hAnsi="Times New Roman"/>
                <w:color w:val="auto"/>
                <w:highlight w:val="none"/>
              </w:rPr>
              <w:t>4.不提供方案或明显不符合本项目要求的，得0分。</w:t>
            </w:r>
          </w:p>
        </w:tc>
      </w:tr>
      <w:tr w14:paraId="5CAFC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10242" w:type="dxa"/>
            <w:gridSpan w:val="4"/>
            <w:vAlign w:val="center"/>
          </w:tcPr>
          <w:p w14:paraId="2386D6CA">
            <w:pPr>
              <w:spacing w:line="500" w:lineRule="exact"/>
              <w:rPr>
                <w:rFonts w:ascii="Times New Roman" w:hAnsi="Times New Roman"/>
                <w:color w:val="auto"/>
                <w:highlight w:val="none"/>
              </w:rPr>
            </w:pPr>
            <w:r>
              <w:rPr>
                <w:rFonts w:hint="eastAsia" w:ascii="Times New Roman" w:hAnsi="Times New Roman"/>
                <w:color w:val="auto"/>
                <w:highlight w:val="none"/>
              </w:rPr>
              <w:t>各评委可结合本项目实际，每项根据其科学、合理、可行性程度（要有针对性、不能简单地照抄照搬规范），每项可在给定分值间合理给分。若有缺项，缺项的项目为</w:t>
            </w:r>
            <w:r>
              <w:rPr>
                <w:rFonts w:ascii="Times New Roman" w:hAnsi="Times New Roman"/>
                <w:color w:val="auto"/>
                <w:highlight w:val="none"/>
              </w:rPr>
              <w:t>0</w:t>
            </w:r>
            <w:r>
              <w:rPr>
                <w:rFonts w:hint="eastAsia" w:ascii="Times New Roman" w:hAnsi="Times New Roman"/>
                <w:color w:val="auto"/>
                <w:highlight w:val="none"/>
              </w:rPr>
              <w:t>分。</w:t>
            </w:r>
          </w:p>
        </w:tc>
      </w:tr>
      <w:tr w14:paraId="66E5B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74" w:type="dxa"/>
            <w:vMerge w:val="restart"/>
            <w:vAlign w:val="center"/>
          </w:tcPr>
          <w:p w14:paraId="5C059F4E">
            <w:pPr>
              <w:spacing w:line="500" w:lineRule="exact"/>
              <w:ind w:right="-107" w:rightChars="-51"/>
              <w:rPr>
                <w:rFonts w:ascii="Times New Roman" w:hAnsi="Times New Roman"/>
                <w:b/>
                <w:color w:val="auto"/>
                <w:highlight w:val="none"/>
              </w:rPr>
            </w:pPr>
            <w:r>
              <w:rPr>
                <w:rFonts w:ascii="Times New Roman" w:hAnsi="Times New Roman"/>
                <w:b/>
                <w:color w:val="auto"/>
                <w:highlight w:val="none"/>
              </w:rPr>
              <w:t>4</w:t>
            </w:r>
          </w:p>
        </w:tc>
        <w:tc>
          <w:tcPr>
            <w:tcW w:w="1330" w:type="dxa"/>
            <w:vMerge w:val="restart"/>
            <w:vAlign w:val="center"/>
          </w:tcPr>
          <w:p w14:paraId="03B00123">
            <w:pPr>
              <w:tabs>
                <w:tab w:val="center" w:pos="4153"/>
                <w:tab w:val="right" w:pos="8306"/>
              </w:tabs>
              <w:snapToGrid w:val="0"/>
              <w:spacing w:line="500" w:lineRule="exact"/>
              <w:jc w:val="center"/>
              <w:rPr>
                <w:rFonts w:ascii="Times New Roman" w:hAnsi="Times New Roman"/>
                <w:color w:val="auto"/>
                <w:highlight w:val="none"/>
              </w:rPr>
            </w:pPr>
            <w:r>
              <w:rPr>
                <w:rFonts w:ascii="Times New Roman" w:hAnsi="Times New Roman"/>
                <w:color w:val="auto"/>
                <w:highlight w:val="none"/>
              </w:rPr>
              <w:t>商务标（</w:t>
            </w:r>
            <w:r>
              <w:rPr>
                <w:rFonts w:hint="eastAsia" w:ascii="Times New Roman" w:hAnsi="Times New Roman"/>
                <w:color w:val="auto"/>
                <w:highlight w:val="none"/>
              </w:rPr>
              <w:t>15</w:t>
            </w:r>
            <w:r>
              <w:rPr>
                <w:rFonts w:ascii="Times New Roman" w:hAnsi="Times New Roman"/>
                <w:color w:val="auto"/>
                <w:highlight w:val="none"/>
              </w:rPr>
              <w:t>分）</w:t>
            </w:r>
          </w:p>
        </w:tc>
        <w:tc>
          <w:tcPr>
            <w:tcW w:w="1785" w:type="dxa"/>
            <w:vAlign w:val="center"/>
          </w:tcPr>
          <w:p w14:paraId="063C84E7">
            <w:pPr>
              <w:spacing w:line="500" w:lineRule="exact"/>
              <w:ind w:left="-109" w:leftChars="-52" w:right="-107" w:rightChars="-51"/>
              <w:rPr>
                <w:rFonts w:ascii="Times New Roman" w:hAnsi="Times New Roman"/>
                <w:color w:val="auto"/>
                <w:highlight w:val="none"/>
              </w:rPr>
            </w:pPr>
            <w:r>
              <w:rPr>
                <w:rFonts w:hint="eastAsia" w:ascii="Times New Roman" w:hAnsi="Times New Roman"/>
                <w:color w:val="auto"/>
                <w:highlight w:val="none"/>
              </w:rPr>
              <w:t>企业业绩（3分）</w:t>
            </w:r>
          </w:p>
        </w:tc>
        <w:tc>
          <w:tcPr>
            <w:tcW w:w="6553" w:type="dxa"/>
            <w:vAlign w:val="center"/>
          </w:tcPr>
          <w:p w14:paraId="0EF8500C">
            <w:pPr>
              <w:spacing w:line="500" w:lineRule="exact"/>
              <w:ind w:left="-109" w:leftChars="-52" w:right="-107" w:rightChars="-51" w:firstLine="420" w:firstLineChars="200"/>
              <w:rPr>
                <w:rFonts w:ascii="Times New Roman" w:hAnsi="Times New Roman"/>
                <w:color w:val="auto"/>
                <w:highlight w:val="none"/>
              </w:rPr>
            </w:pPr>
            <w:r>
              <w:rPr>
                <w:rFonts w:hint="eastAsia" w:ascii="Times New Roman" w:hAnsi="Times New Roman"/>
                <w:color w:val="auto"/>
                <w:highlight w:val="none"/>
              </w:rPr>
              <w:t>自2022年1月1日以来本企业承担过的类似项目（X波段双偏振/双极化相控阵天气雷达采购安装项目）的业绩，每提供一项得1分，最多得3分。</w:t>
            </w:r>
          </w:p>
          <w:p w14:paraId="12887D95">
            <w:pPr>
              <w:spacing w:line="500" w:lineRule="exact"/>
              <w:ind w:left="-109" w:leftChars="-52" w:right="-107" w:rightChars="-51" w:firstLine="420" w:firstLineChars="200"/>
              <w:rPr>
                <w:rFonts w:ascii="Times New Roman" w:hAnsi="Times New Roman"/>
                <w:color w:val="auto"/>
                <w:highlight w:val="none"/>
              </w:rPr>
            </w:pPr>
            <w:r>
              <w:rPr>
                <w:rFonts w:hint="eastAsia" w:ascii="Times New Roman" w:hAnsi="Times New Roman"/>
                <w:color w:val="auto"/>
                <w:highlight w:val="none"/>
              </w:rPr>
              <w:t>注：投标文件中须附中标通知书（或成交通知书）、中标公告、合同关键页（首页、标的页、金额页、双方盖章页）和验收报告扫描件并加盖公章，日期以合同签订时间为准，否则不得分。</w:t>
            </w:r>
          </w:p>
        </w:tc>
      </w:tr>
      <w:tr w14:paraId="48E90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74" w:type="dxa"/>
            <w:vMerge w:val="continue"/>
            <w:vAlign w:val="center"/>
          </w:tcPr>
          <w:p w14:paraId="6359D4BC">
            <w:pPr>
              <w:spacing w:line="500" w:lineRule="exact"/>
              <w:rPr>
                <w:rFonts w:ascii="Times New Roman" w:hAnsi="Times New Roman"/>
                <w:color w:val="auto"/>
                <w:highlight w:val="none"/>
              </w:rPr>
            </w:pPr>
          </w:p>
        </w:tc>
        <w:tc>
          <w:tcPr>
            <w:tcW w:w="1330" w:type="dxa"/>
            <w:vMerge w:val="continue"/>
            <w:vAlign w:val="center"/>
          </w:tcPr>
          <w:p w14:paraId="75827AC3">
            <w:pPr>
              <w:tabs>
                <w:tab w:val="center" w:pos="4153"/>
                <w:tab w:val="right" w:pos="8306"/>
              </w:tabs>
              <w:snapToGrid w:val="0"/>
              <w:spacing w:line="500" w:lineRule="exact"/>
              <w:jc w:val="center"/>
              <w:rPr>
                <w:rFonts w:ascii="Times New Roman" w:hAnsi="Times New Roman"/>
                <w:color w:val="auto"/>
                <w:highlight w:val="none"/>
              </w:rPr>
            </w:pPr>
          </w:p>
        </w:tc>
        <w:tc>
          <w:tcPr>
            <w:tcW w:w="1785" w:type="dxa"/>
            <w:vAlign w:val="center"/>
          </w:tcPr>
          <w:p w14:paraId="0017061A">
            <w:pPr>
              <w:spacing w:line="500" w:lineRule="exact"/>
              <w:ind w:left="-109" w:leftChars="-52" w:right="-107" w:rightChars="-51"/>
              <w:rPr>
                <w:rFonts w:ascii="Times New Roman" w:hAnsi="Times New Roman"/>
                <w:color w:val="auto"/>
                <w:highlight w:val="none"/>
              </w:rPr>
            </w:pPr>
            <w:r>
              <w:rPr>
                <w:rFonts w:hint="eastAsia" w:ascii="Times New Roman" w:hAnsi="Times New Roman"/>
                <w:color w:val="auto"/>
                <w:highlight w:val="none"/>
              </w:rPr>
              <w:t>履约能力（2分）</w:t>
            </w:r>
          </w:p>
        </w:tc>
        <w:tc>
          <w:tcPr>
            <w:tcW w:w="6553" w:type="dxa"/>
            <w:vAlign w:val="center"/>
          </w:tcPr>
          <w:p w14:paraId="2B1C73FE">
            <w:pPr>
              <w:spacing w:line="500" w:lineRule="exact"/>
              <w:ind w:left="-109" w:leftChars="-52" w:right="-107" w:rightChars="-51" w:firstLine="420" w:firstLineChars="200"/>
              <w:rPr>
                <w:rFonts w:ascii="Times New Roman" w:hAnsi="Times New Roman"/>
                <w:color w:val="auto"/>
                <w:highlight w:val="none"/>
              </w:rPr>
            </w:pPr>
            <w:r>
              <w:rPr>
                <w:rFonts w:hint="eastAsia" w:ascii="Times New Roman" w:hAnsi="Times New Roman"/>
                <w:color w:val="auto"/>
                <w:highlight w:val="none"/>
              </w:rPr>
              <w:t>投标人具有配套软件，提供相关软件著作权登记证书，每提供1个得1分，最高2分，不提供不得分。</w:t>
            </w:r>
          </w:p>
        </w:tc>
      </w:tr>
      <w:tr w14:paraId="0D357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74" w:type="dxa"/>
            <w:vMerge w:val="continue"/>
            <w:vAlign w:val="center"/>
          </w:tcPr>
          <w:p w14:paraId="07766D7E">
            <w:pPr>
              <w:spacing w:line="500" w:lineRule="exact"/>
              <w:rPr>
                <w:rFonts w:ascii="Times New Roman" w:hAnsi="Times New Roman"/>
                <w:color w:val="auto"/>
                <w:highlight w:val="none"/>
              </w:rPr>
            </w:pPr>
          </w:p>
        </w:tc>
        <w:tc>
          <w:tcPr>
            <w:tcW w:w="1330" w:type="dxa"/>
            <w:vMerge w:val="continue"/>
            <w:vAlign w:val="center"/>
          </w:tcPr>
          <w:p w14:paraId="1E769E38">
            <w:pPr>
              <w:tabs>
                <w:tab w:val="center" w:pos="4153"/>
                <w:tab w:val="right" w:pos="8306"/>
              </w:tabs>
              <w:snapToGrid w:val="0"/>
              <w:spacing w:line="500" w:lineRule="exact"/>
              <w:jc w:val="center"/>
              <w:rPr>
                <w:rFonts w:ascii="Times New Roman" w:hAnsi="Times New Roman"/>
                <w:color w:val="auto"/>
                <w:highlight w:val="none"/>
              </w:rPr>
            </w:pPr>
          </w:p>
        </w:tc>
        <w:tc>
          <w:tcPr>
            <w:tcW w:w="1785" w:type="dxa"/>
            <w:vAlign w:val="center"/>
          </w:tcPr>
          <w:p w14:paraId="668769F2">
            <w:pPr>
              <w:spacing w:line="500" w:lineRule="exact"/>
              <w:ind w:left="-109" w:leftChars="-52" w:right="-107" w:rightChars="-51"/>
              <w:rPr>
                <w:rFonts w:ascii="Times New Roman" w:hAnsi="Times New Roman"/>
                <w:color w:val="auto"/>
                <w:highlight w:val="none"/>
              </w:rPr>
            </w:pPr>
            <w:r>
              <w:rPr>
                <w:rFonts w:hint="eastAsia" w:ascii="Times New Roman" w:hAnsi="Times New Roman"/>
                <w:color w:val="auto"/>
                <w:highlight w:val="none"/>
              </w:rPr>
              <w:t>售后服务方案（5分）</w:t>
            </w:r>
          </w:p>
        </w:tc>
        <w:tc>
          <w:tcPr>
            <w:tcW w:w="6553" w:type="dxa"/>
            <w:vAlign w:val="center"/>
          </w:tcPr>
          <w:p w14:paraId="7E60853F">
            <w:pPr>
              <w:spacing w:line="500" w:lineRule="exact"/>
              <w:ind w:left="-109" w:leftChars="-52" w:right="-107" w:rightChars="-51" w:firstLine="420" w:firstLineChars="200"/>
              <w:rPr>
                <w:rFonts w:ascii="Times New Roman" w:hAnsi="Times New Roman"/>
                <w:color w:val="auto"/>
                <w:highlight w:val="none"/>
              </w:rPr>
            </w:pPr>
            <w:r>
              <w:rPr>
                <w:rFonts w:hint="eastAsia" w:ascii="Times New Roman" w:hAnsi="Times New Roman"/>
                <w:color w:val="auto"/>
                <w:highlight w:val="none"/>
              </w:rPr>
              <w:t>评委根据各投标人所提供的售后服务方案（包含但不限于：售后服务内容、组织机构、人员名单，以及</w:t>
            </w:r>
            <w:r>
              <w:rPr>
                <w:rFonts w:hint="eastAsia" w:ascii="Times New Roman" w:hAnsi="Times New Roman"/>
                <w:color w:val="auto"/>
                <w:highlight w:val="none"/>
                <w:lang w:eastAsia="zh-CN"/>
              </w:rPr>
              <w:t>质保期</w:t>
            </w:r>
            <w:r>
              <w:rPr>
                <w:rFonts w:hint="eastAsia" w:ascii="Times New Roman" w:hAnsi="Times New Roman"/>
                <w:color w:val="auto"/>
                <w:highlight w:val="none"/>
              </w:rPr>
              <w:t>内接到故障报告后切实可行的修复方案及响应时间）进行比较后打分，不提供不得分。</w:t>
            </w:r>
          </w:p>
          <w:p w14:paraId="296FCF80">
            <w:pPr>
              <w:spacing w:line="500" w:lineRule="exact"/>
              <w:ind w:left="-109" w:leftChars="-52" w:right="-107" w:rightChars="-51" w:firstLine="420" w:firstLineChars="200"/>
              <w:rPr>
                <w:rFonts w:ascii="Times New Roman" w:hAnsi="Times New Roman"/>
                <w:color w:val="auto"/>
                <w:highlight w:val="none"/>
              </w:rPr>
            </w:pPr>
            <w:r>
              <w:rPr>
                <w:rFonts w:hint="eastAsia" w:ascii="Times New Roman" w:hAnsi="Times New Roman"/>
                <w:color w:val="auto"/>
                <w:highlight w:val="none"/>
              </w:rPr>
              <w:t>1.售后服务方案能按照招标文件要求进行响应，详细具体，针对性强，与项目实际情况相契合，方案完善周全且完全满足招标文件的要求，能充分为采购人考虑，得5分。</w:t>
            </w:r>
          </w:p>
          <w:p w14:paraId="307B1FAD">
            <w:pPr>
              <w:spacing w:line="500" w:lineRule="exact"/>
              <w:ind w:left="-109" w:leftChars="-52" w:right="-107" w:rightChars="-51" w:firstLine="420" w:firstLineChars="200"/>
              <w:rPr>
                <w:rFonts w:ascii="Times New Roman" w:hAnsi="Times New Roman"/>
                <w:color w:val="auto"/>
                <w:highlight w:val="none"/>
              </w:rPr>
            </w:pPr>
            <w:r>
              <w:rPr>
                <w:rFonts w:hint="eastAsia" w:ascii="Times New Roman" w:hAnsi="Times New Roman"/>
                <w:color w:val="auto"/>
                <w:highlight w:val="none"/>
              </w:rPr>
              <w:t>2.售后服务方案较为具体，方案满足采购文件要求，对售后工作有简单的分析，具有可行性，得3分。</w:t>
            </w:r>
          </w:p>
          <w:p w14:paraId="44276B2A">
            <w:pPr>
              <w:spacing w:line="500" w:lineRule="exact"/>
              <w:ind w:left="-109" w:leftChars="-52" w:right="-107" w:rightChars="-51" w:firstLine="420" w:firstLineChars="200"/>
              <w:rPr>
                <w:rFonts w:ascii="Times New Roman" w:hAnsi="Times New Roman"/>
                <w:color w:val="auto"/>
                <w:highlight w:val="none"/>
              </w:rPr>
            </w:pPr>
            <w:r>
              <w:rPr>
                <w:rFonts w:hint="eastAsia" w:ascii="Times New Roman" w:hAnsi="Times New Roman"/>
                <w:color w:val="auto"/>
                <w:highlight w:val="none"/>
              </w:rPr>
              <w:t>3.售后服务方案简单，服务响应时间等基本满足采购文件要求，得1分；</w:t>
            </w:r>
          </w:p>
          <w:p w14:paraId="5BE6CD93">
            <w:pPr>
              <w:spacing w:line="500" w:lineRule="exact"/>
              <w:ind w:left="-109" w:leftChars="-52" w:right="-107" w:rightChars="-51" w:firstLine="420" w:firstLineChars="200"/>
              <w:rPr>
                <w:rFonts w:ascii="Times New Roman" w:hAnsi="Times New Roman"/>
                <w:color w:val="auto"/>
                <w:highlight w:val="none"/>
              </w:rPr>
            </w:pPr>
            <w:r>
              <w:rPr>
                <w:rFonts w:hint="eastAsia" w:ascii="Times New Roman" w:hAnsi="Times New Roman"/>
                <w:color w:val="auto"/>
                <w:highlight w:val="none"/>
              </w:rPr>
              <w:t>4.不提供方案或方案内容缺项或明显不符合本项目要求的，得0分。</w:t>
            </w:r>
          </w:p>
        </w:tc>
      </w:tr>
      <w:tr w14:paraId="349D6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74" w:type="dxa"/>
            <w:vMerge w:val="continue"/>
            <w:vAlign w:val="center"/>
          </w:tcPr>
          <w:p w14:paraId="4B9193E7">
            <w:pPr>
              <w:spacing w:line="500" w:lineRule="exact"/>
              <w:rPr>
                <w:rFonts w:ascii="Times New Roman" w:hAnsi="Times New Roman"/>
                <w:color w:val="auto"/>
                <w:highlight w:val="none"/>
              </w:rPr>
            </w:pPr>
          </w:p>
        </w:tc>
        <w:tc>
          <w:tcPr>
            <w:tcW w:w="1330" w:type="dxa"/>
            <w:vMerge w:val="continue"/>
            <w:vAlign w:val="center"/>
          </w:tcPr>
          <w:p w14:paraId="6C64C68D">
            <w:pPr>
              <w:tabs>
                <w:tab w:val="center" w:pos="4153"/>
                <w:tab w:val="right" w:pos="8306"/>
              </w:tabs>
              <w:snapToGrid w:val="0"/>
              <w:spacing w:line="500" w:lineRule="exact"/>
              <w:jc w:val="center"/>
              <w:rPr>
                <w:rFonts w:ascii="Times New Roman" w:hAnsi="Times New Roman"/>
                <w:color w:val="auto"/>
                <w:highlight w:val="none"/>
              </w:rPr>
            </w:pPr>
          </w:p>
        </w:tc>
        <w:tc>
          <w:tcPr>
            <w:tcW w:w="1785" w:type="dxa"/>
            <w:vAlign w:val="center"/>
          </w:tcPr>
          <w:p w14:paraId="0DE5BC1B">
            <w:pPr>
              <w:spacing w:line="500" w:lineRule="exact"/>
              <w:ind w:right="-107" w:rightChars="-51"/>
              <w:rPr>
                <w:rFonts w:ascii="Times New Roman" w:hAnsi="Times New Roman"/>
                <w:color w:val="auto"/>
                <w:highlight w:val="none"/>
              </w:rPr>
            </w:pPr>
            <w:r>
              <w:rPr>
                <w:rFonts w:hint="eastAsia" w:ascii="Times New Roman" w:hAnsi="Times New Roman"/>
                <w:color w:val="auto"/>
                <w:highlight w:val="none"/>
              </w:rPr>
              <w:t>培训方案（5分）</w:t>
            </w:r>
          </w:p>
        </w:tc>
        <w:tc>
          <w:tcPr>
            <w:tcW w:w="6553" w:type="dxa"/>
            <w:vAlign w:val="center"/>
          </w:tcPr>
          <w:p w14:paraId="68351096">
            <w:pPr>
              <w:spacing w:line="500" w:lineRule="exact"/>
              <w:ind w:left="-109" w:leftChars="-52" w:right="-107" w:rightChars="-51" w:firstLine="420" w:firstLineChars="200"/>
              <w:rPr>
                <w:rFonts w:ascii="Times New Roman" w:hAnsi="Times New Roman"/>
                <w:color w:val="auto"/>
                <w:highlight w:val="none"/>
              </w:rPr>
            </w:pPr>
            <w:r>
              <w:rPr>
                <w:rFonts w:hint="eastAsia" w:ascii="Times New Roman" w:hAnsi="Times New Roman"/>
                <w:color w:val="auto"/>
                <w:highlight w:val="none"/>
              </w:rPr>
              <w:t>供应商根据本项目制定详细的人员培训方案，包含但不限于完整的培训大纲，培训资料，课表、授课人员简介等内容，评标委员会根据供应商提供的人员培训方案进行评价：</w:t>
            </w:r>
          </w:p>
          <w:p w14:paraId="5AA7E96C">
            <w:pPr>
              <w:spacing w:line="500" w:lineRule="exact"/>
              <w:ind w:left="-109" w:leftChars="-52" w:right="-107" w:rightChars="-51" w:firstLine="420" w:firstLineChars="200"/>
              <w:rPr>
                <w:rFonts w:ascii="Times New Roman" w:hAnsi="Times New Roman"/>
                <w:color w:val="auto"/>
                <w:highlight w:val="none"/>
              </w:rPr>
            </w:pPr>
            <w:r>
              <w:rPr>
                <w:rFonts w:hint="eastAsia" w:ascii="Times New Roman" w:hAnsi="Times New Roman"/>
                <w:color w:val="auto"/>
                <w:highlight w:val="none"/>
              </w:rPr>
              <w:t>1.培训方案清晰，针对性强，完整明晰、可操作性强，培训人员职能清晰，培训内容切合实际，得5分；</w:t>
            </w:r>
          </w:p>
          <w:p w14:paraId="35FEBE04">
            <w:pPr>
              <w:spacing w:line="500" w:lineRule="exact"/>
              <w:ind w:left="-109" w:leftChars="-52" w:right="-107" w:rightChars="-51" w:firstLine="420" w:firstLineChars="200"/>
              <w:rPr>
                <w:rFonts w:hint="eastAsia" w:ascii="Times New Roman" w:hAnsi="Times New Roman"/>
                <w:color w:val="auto"/>
                <w:highlight w:val="none"/>
              </w:rPr>
            </w:pPr>
            <w:r>
              <w:rPr>
                <w:rFonts w:hint="eastAsia" w:ascii="Times New Roman" w:hAnsi="Times New Roman"/>
                <w:color w:val="auto"/>
                <w:highlight w:val="none"/>
              </w:rPr>
              <w:t>2.培训方案完整，时间计划完整可行，培训人员职能满足要求，得3分；</w:t>
            </w:r>
          </w:p>
          <w:p w14:paraId="05AA01C2">
            <w:pPr>
              <w:spacing w:line="500" w:lineRule="exact"/>
              <w:ind w:left="-109" w:leftChars="-52" w:right="-107" w:rightChars="-51" w:firstLine="420" w:firstLineChars="200"/>
              <w:rPr>
                <w:rFonts w:ascii="Times New Roman" w:hAnsi="Times New Roman"/>
                <w:color w:val="auto"/>
                <w:highlight w:val="none"/>
              </w:rPr>
            </w:pPr>
            <w:r>
              <w:rPr>
                <w:rFonts w:hint="eastAsia" w:ascii="Times New Roman" w:hAnsi="Times New Roman"/>
                <w:color w:val="auto"/>
                <w:highlight w:val="none"/>
              </w:rPr>
              <w:t>3.培训方案内容简单空洞，针对性较差，不能满足需求的，得1分。</w:t>
            </w:r>
          </w:p>
          <w:p w14:paraId="472ACB91">
            <w:pPr>
              <w:spacing w:line="500" w:lineRule="exact"/>
              <w:ind w:left="-109" w:leftChars="-52" w:right="-107" w:rightChars="-51" w:firstLine="420" w:firstLineChars="200"/>
              <w:rPr>
                <w:rFonts w:ascii="Times New Roman" w:hAnsi="Times New Roman"/>
                <w:color w:val="auto"/>
                <w:highlight w:val="none"/>
              </w:rPr>
            </w:pPr>
            <w:r>
              <w:rPr>
                <w:rFonts w:hint="eastAsia" w:ascii="Times New Roman" w:hAnsi="Times New Roman"/>
                <w:color w:val="auto"/>
                <w:highlight w:val="none"/>
              </w:rPr>
              <w:t>4.不提供方案或方案内容缺项或明显不符合本项目要求的，得0分。</w:t>
            </w:r>
          </w:p>
        </w:tc>
      </w:tr>
    </w:tbl>
    <w:p w14:paraId="7FD205F2">
      <w:pPr>
        <w:spacing w:line="440" w:lineRule="exact"/>
        <w:jc w:val="center"/>
        <w:rPr>
          <w:rFonts w:ascii="Times New Roman" w:hAnsi="Times New Roman"/>
          <w:b/>
          <w:color w:val="auto"/>
          <w:kern w:val="0"/>
          <w:sz w:val="24"/>
          <w:highlight w:val="none"/>
          <w:u w:color="000000"/>
        </w:rPr>
      </w:pPr>
      <w:r>
        <w:rPr>
          <w:rFonts w:ascii="Times New Roman" w:hAnsi="Times New Roman"/>
          <w:b/>
          <w:color w:val="auto"/>
          <w:kern w:val="0"/>
          <w:sz w:val="24"/>
          <w:highlight w:val="none"/>
          <w:u w:color="000000"/>
        </w:rPr>
        <w:t>评审办法</w:t>
      </w:r>
    </w:p>
    <w:p w14:paraId="23036864">
      <w:pPr>
        <w:spacing w:line="360" w:lineRule="auto"/>
        <w:ind w:firstLine="480" w:firstLineChars="200"/>
        <w:jc w:val="left"/>
        <w:rPr>
          <w:rFonts w:ascii="Times New Roman" w:hAnsi="Times New Roman"/>
          <w:bCs/>
          <w:color w:val="auto"/>
          <w:sz w:val="24"/>
          <w:szCs w:val="24"/>
          <w:highlight w:val="none"/>
        </w:rPr>
      </w:pPr>
      <w:bookmarkStart w:id="468" w:name="_Toc108777258"/>
      <w:bookmarkStart w:id="469" w:name="_Toc108777070"/>
      <w:bookmarkStart w:id="470" w:name="_Toc108777133"/>
      <w:r>
        <w:rPr>
          <w:rFonts w:hint="eastAsia" w:ascii="Times New Roman" w:hAnsi="Times New Roman"/>
          <w:bCs/>
          <w:color w:val="auto"/>
          <w:sz w:val="24"/>
          <w:szCs w:val="24"/>
          <w:highlight w:val="none"/>
        </w:rPr>
        <w:t>本项目采用综合评分法。综合评分法，是指投标文件满足招标文件全部实质性要求，且按照评审因素的量化指标评审得分最高的投标供应商为中标候选人的评标方法。</w:t>
      </w:r>
      <w:r>
        <w:rPr>
          <w:rFonts w:hint="eastAsia" w:ascii="Times New Roman" w:hAnsi="Times New Roman"/>
          <w:b/>
          <w:bCs/>
          <w:color w:val="auto"/>
          <w:sz w:val="24"/>
          <w:szCs w:val="24"/>
          <w:highlight w:val="none"/>
        </w:rPr>
        <w:t>总</w:t>
      </w:r>
      <w:r>
        <w:rPr>
          <w:rFonts w:ascii="Times New Roman" w:hAnsi="Times New Roman"/>
          <w:b/>
          <w:color w:val="auto"/>
          <w:sz w:val="24"/>
          <w:szCs w:val="24"/>
          <w:highlight w:val="none"/>
        </w:rPr>
        <w:t>得分相同的，按投标报价由低到高顺序排列；总得分且投标报价相同的并列，按照技术部分的得分由高到低排列；总得分、投标报价与技术部分得分均相同的，按照商务标的得分由高到低排列；总得分、投标报价、技术</w:t>
      </w:r>
      <w:r>
        <w:rPr>
          <w:rFonts w:hint="eastAsia" w:ascii="Times New Roman" w:hAnsi="Times New Roman"/>
          <w:b/>
          <w:color w:val="auto"/>
          <w:sz w:val="24"/>
          <w:szCs w:val="24"/>
          <w:highlight w:val="none"/>
        </w:rPr>
        <w:t>部分得分及商务标得分均相同的，通过随机抽取产生</w:t>
      </w:r>
      <w:r>
        <w:rPr>
          <w:rFonts w:ascii="Times New Roman" w:hAnsi="Times New Roman"/>
          <w:b/>
          <w:bCs/>
          <w:color w:val="auto"/>
          <w:sz w:val="24"/>
          <w:szCs w:val="24"/>
          <w:highlight w:val="none"/>
          <w:lang w:bidi="en-US"/>
        </w:rPr>
        <w:t>。</w:t>
      </w:r>
    </w:p>
    <w:p w14:paraId="3A208DB5">
      <w:pPr>
        <w:spacing w:line="360" w:lineRule="auto"/>
        <w:ind w:firstLine="480"/>
        <w:rPr>
          <w:rFonts w:ascii="Times New Roman" w:hAnsi="Times New Roman"/>
          <w:b/>
          <w:bCs/>
          <w:color w:val="auto"/>
          <w:sz w:val="24"/>
          <w:szCs w:val="24"/>
          <w:highlight w:val="none"/>
        </w:rPr>
      </w:pPr>
      <w:r>
        <w:rPr>
          <w:rFonts w:hint="eastAsia" w:ascii="Times New Roman" w:hAnsi="Times New Roman"/>
          <w:b/>
          <w:bCs/>
          <w:color w:val="auto"/>
          <w:sz w:val="24"/>
          <w:szCs w:val="24"/>
          <w:highlight w:val="none"/>
        </w:rPr>
        <w:t>一、评标原则：</w:t>
      </w:r>
    </w:p>
    <w:p w14:paraId="353AC3F1">
      <w:pPr>
        <w:spacing w:line="360" w:lineRule="auto"/>
        <w:ind w:firstLine="480" w:firstLineChars="200"/>
        <w:jc w:val="left"/>
        <w:rPr>
          <w:rFonts w:ascii="Times New Roman" w:hAnsi="Times New Roman"/>
          <w:bCs/>
          <w:color w:val="auto"/>
          <w:sz w:val="24"/>
          <w:szCs w:val="24"/>
          <w:highlight w:val="none"/>
        </w:rPr>
      </w:pPr>
      <w:r>
        <w:rPr>
          <w:rFonts w:ascii="Times New Roman" w:hAnsi="Times New Roman"/>
          <w:bCs/>
          <w:color w:val="auto"/>
          <w:sz w:val="24"/>
          <w:szCs w:val="24"/>
          <w:highlight w:val="none"/>
        </w:rPr>
        <w:t>1.</w:t>
      </w:r>
      <w:r>
        <w:rPr>
          <w:rFonts w:hint="eastAsia" w:ascii="Times New Roman" w:hAnsi="Times New Roman"/>
          <w:bCs/>
          <w:color w:val="auto"/>
          <w:sz w:val="24"/>
          <w:szCs w:val="24"/>
          <w:highlight w:val="none"/>
        </w:rPr>
        <w:t>评标活动遵循公平、公正、科学和择优的原则。</w:t>
      </w:r>
    </w:p>
    <w:p w14:paraId="3D57AA04">
      <w:pPr>
        <w:spacing w:line="360" w:lineRule="auto"/>
        <w:ind w:firstLine="480" w:firstLineChars="200"/>
        <w:jc w:val="left"/>
        <w:rPr>
          <w:rFonts w:ascii="Times New Roman" w:hAnsi="Times New Roman"/>
          <w:bCs/>
          <w:color w:val="auto"/>
          <w:sz w:val="24"/>
          <w:szCs w:val="24"/>
          <w:highlight w:val="none"/>
        </w:rPr>
      </w:pPr>
      <w:r>
        <w:rPr>
          <w:rFonts w:ascii="Times New Roman" w:hAnsi="Times New Roman"/>
          <w:bCs/>
          <w:color w:val="auto"/>
          <w:sz w:val="24"/>
          <w:szCs w:val="24"/>
          <w:highlight w:val="none"/>
        </w:rPr>
        <w:t>2.</w:t>
      </w:r>
      <w:r>
        <w:rPr>
          <w:rFonts w:hint="eastAsia" w:ascii="Times New Roman" w:hAnsi="Times New Roman"/>
          <w:bCs/>
          <w:color w:val="auto"/>
          <w:sz w:val="24"/>
          <w:szCs w:val="24"/>
          <w:highlight w:val="none"/>
        </w:rPr>
        <w:t>对所有供应商的投标评定都采用相同的程序和标准。</w:t>
      </w:r>
    </w:p>
    <w:p w14:paraId="13FF7428">
      <w:pPr>
        <w:spacing w:line="360" w:lineRule="auto"/>
        <w:ind w:firstLine="480"/>
        <w:rPr>
          <w:rFonts w:ascii="Times New Roman" w:hAnsi="Times New Roman"/>
          <w:b/>
          <w:bCs/>
          <w:color w:val="auto"/>
          <w:sz w:val="24"/>
          <w:szCs w:val="24"/>
          <w:highlight w:val="none"/>
        </w:rPr>
      </w:pPr>
      <w:r>
        <w:rPr>
          <w:rFonts w:hint="eastAsia" w:ascii="Times New Roman" w:hAnsi="Times New Roman"/>
          <w:b/>
          <w:bCs/>
          <w:color w:val="auto"/>
          <w:sz w:val="24"/>
          <w:szCs w:val="24"/>
          <w:highlight w:val="none"/>
        </w:rPr>
        <w:t>二、评标程序</w:t>
      </w:r>
    </w:p>
    <w:p w14:paraId="5B699082">
      <w:pPr>
        <w:spacing w:line="520" w:lineRule="exact"/>
        <w:ind w:firstLine="562"/>
        <w:rPr>
          <w:rFonts w:ascii="Times New Roman" w:hAnsi="Times New Roman"/>
          <w:b/>
          <w:color w:val="auto"/>
          <w:sz w:val="24"/>
          <w:szCs w:val="24"/>
          <w:highlight w:val="none"/>
        </w:rPr>
      </w:pPr>
      <w:r>
        <w:rPr>
          <w:rFonts w:ascii="Times New Roman" w:hAnsi="Times New Roman"/>
          <w:b/>
          <w:color w:val="auto"/>
          <w:sz w:val="24"/>
          <w:szCs w:val="24"/>
          <w:highlight w:val="none"/>
        </w:rPr>
        <w:t>2.评审标准</w:t>
      </w:r>
    </w:p>
    <w:p w14:paraId="09DFD909">
      <w:pPr>
        <w:spacing w:line="360" w:lineRule="auto"/>
        <w:ind w:firstLine="241" w:firstLineChars="100"/>
        <w:rPr>
          <w:rFonts w:ascii="Times New Roman" w:hAnsi="Times New Roman"/>
          <w:b/>
          <w:bCs/>
          <w:color w:val="auto"/>
          <w:sz w:val="24"/>
          <w:szCs w:val="24"/>
          <w:highlight w:val="none"/>
        </w:rPr>
      </w:pPr>
      <w:r>
        <w:rPr>
          <w:rFonts w:ascii="Times New Roman" w:hAnsi="Times New Roman"/>
          <w:b/>
          <w:bCs/>
          <w:color w:val="auto"/>
          <w:sz w:val="24"/>
          <w:szCs w:val="24"/>
          <w:highlight w:val="none"/>
        </w:rPr>
        <w:t>2.1</w:t>
      </w:r>
      <w:r>
        <w:rPr>
          <w:rFonts w:hint="eastAsia" w:ascii="Times New Roman" w:hAnsi="Times New Roman"/>
          <w:b/>
          <w:bCs/>
          <w:color w:val="auto"/>
          <w:sz w:val="24"/>
          <w:szCs w:val="24"/>
          <w:highlight w:val="none"/>
        </w:rPr>
        <w:t>资格性审查（开标结束后由采购人审查）</w:t>
      </w:r>
    </w:p>
    <w:p w14:paraId="71E94356">
      <w:pPr>
        <w:spacing w:line="520" w:lineRule="exact"/>
        <w:ind w:firstLine="240" w:firstLineChars="100"/>
        <w:rPr>
          <w:rFonts w:ascii="Times New Roman" w:hAnsi="Times New Roman"/>
          <w:color w:val="auto"/>
          <w:sz w:val="24"/>
          <w:szCs w:val="24"/>
          <w:highlight w:val="none"/>
        </w:rPr>
      </w:pPr>
      <w:r>
        <w:rPr>
          <w:rFonts w:hint="eastAsia" w:ascii="Times New Roman" w:hAnsi="Times New Roman"/>
          <w:color w:val="auto"/>
          <w:sz w:val="24"/>
          <w:szCs w:val="24"/>
          <w:highlight w:val="none"/>
        </w:rPr>
        <w:t>审查内容详见附件一：资格审查表</w:t>
      </w:r>
    </w:p>
    <w:p w14:paraId="5074710E">
      <w:pPr>
        <w:spacing w:line="360" w:lineRule="auto"/>
        <w:ind w:firstLine="241" w:firstLineChars="100"/>
        <w:rPr>
          <w:rFonts w:ascii="Times New Roman" w:hAnsi="Times New Roman"/>
          <w:b/>
          <w:bCs/>
          <w:color w:val="auto"/>
          <w:sz w:val="24"/>
          <w:szCs w:val="24"/>
          <w:highlight w:val="none"/>
        </w:rPr>
      </w:pPr>
      <w:r>
        <w:rPr>
          <w:rFonts w:ascii="Times New Roman" w:hAnsi="Times New Roman"/>
          <w:b/>
          <w:bCs/>
          <w:color w:val="auto"/>
          <w:sz w:val="24"/>
          <w:szCs w:val="24"/>
          <w:highlight w:val="none"/>
        </w:rPr>
        <w:t>2.2</w:t>
      </w:r>
      <w:r>
        <w:rPr>
          <w:rFonts w:hint="eastAsia" w:ascii="Times New Roman" w:hAnsi="Times New Roman"/>
          <w:b/>
          <w:color w:val="auto"/>
          <w:sz w:val="24"/>
          <w:szCs w:val="24"/>
          <w:highlight w:val="none"/>
        </w:rPr>
        <w:t>符合性性审查</w:t>
      </w:r>
    </w:p>
    <w:p w14:paraId="3C413FAA">
      <w:pPr>
        <w:spacing w:line="520" w:lineRule="exact"/>
        <w:ind w:firstLine="241" w:firstLineChars="100"/>
        <w:rPr>
          <w:rFonts w:ascii="Times New Roman" w:hAnsi="Times New Roman"/>
          <w:b/>
          <w:color w:val="auto"/>
          <w:sz w:val="24"/>
          <w:szCs w:val="24"/>
          <w:highlight w:val="none"/>
        </w:rPr>
      </w:pPr>
      <w:r>
        <w:rPr>
          <w:rFonts w:ascii="Times New Roman" w:hAnsi="Times New Roman"/>
          <w:b/>
          <w:color w:val="auto"/>
          <w:sz w:val="24"/>
          <w:szCs w:val="24"/>
          <w:highlight w:val="none"/>
        </w:rPr>
        <w:t>评标委员会依据本章第2.1项的评审标准对投标文件进行符合性评审，未通过符合性评审的，不再进行详细评审。</w:t>
      </w:r>
    </w:p>
    <w:p w14:paraId="31678FCA">
      <w:pPr>
        <w:spacing w:line="360" w:lineRule="auto"/>
        <w:ind w:firstLine="241" w:firstLineChars="100"/>
        <w:rPr>
          <w:rFonts w:ascii="Times New Roman" w:hAnsi="Times New Roman"/>
          <w:b/>
          <w:bCs/>
          <w:color w:val="auto"/>
          <w:sz w:val="24"/>
          <w:szCs w:val="24"/>
          <w:highlight w:val="none"/>
        </w:rPr>
      </w:pPr>
      <w:r>
        <w:rPr>
          <w:rFonts w:ascii="Times New Roman" w:hAnsi="Times New Roman"/>
          <w:b/>
          <w:bCs/>
          <w:color w:val="auto"/>
          <w:sz w:val="24"/>
          <w:szCs w:val="24"/>
          <w:highlight w:val="none"/>
        </w:rPr>
        <w:t>2.3</w:t>
      </w:r>
      <w:r>
        <w:rPr>
          <w:rFonts w:hint="eastAsia" w:ascii="Times New Roman" w:hAnsi="Times New Roman"/>
          <w:b/>
          <w:bCs/>
          <w:color w:val="auto"/>
          <w:sz w:val="24"/>
          <w:szCs w:val="24"/>
          <w:highlight w:val="none"/>
        </w:rPr>
        <w:t>评分标准</w:t>
      </w:r>
      <w:r>
        <w:rPr>
          <w:rFonts w:ascii="Times New Roman" w:hAnsi="Times New Roman"/>
          <w:b/>
          <w:bCs/>
          <w:color w:val="auto"/>
          <w:sz w:val="24"/>
          <w:szCs w:val="24"/>
          <w:highlight w:val="none"/>
        </w:rPr>
        <w:t xml:space="preserve"> </w:t>
      </w:r>
    </w:p>
    <w:p w14:paraId="2EF50F92">
      <w:pPr>
        <w:spacing w:line="520" w:lineRule="exact"/>
        <w:ind w:firstLine="240" w:firstLineChars="100"/>
        <w:rPr>
          <w:rFonts w:ascii="Times New Roman" w:hAnsi="Times New Roman"/>
          <w:color w:val="auto"/>
          <w:sz w:val="24"/>
          <w:szCs w:val="24"/>
          <w:highlight w:val="none"/>
        </w:rPr>
      </w:pPr>
      <w:r>
        <w:rPr>
          <w:rFonts w:ascii="Times New Roman" w:hAnsi="Times New Roman"/>
          <w:color w:val="auto"/>
          <w:sz w:val="24"/>
          <w:szCs w:val="24"/>
          <w:highlight w:val="none"/>
        </w:rPr>
        <w:t>2.3.1</w:t>
      </w:r>
      <w:r>
        <w:rPr>
          <w:rFonts w:hint="eastAsia" w:ascii="Times New Roman" w:hAnsi="Times New Roman"/>
          <w:color w:val="auto"/>
          <w:sz w:val="24"/>
          <w:szCs w:val="24"/>
          <w:highlight w:val="none"/>
        </w:rPr>
        <w:t>分值构成：见评标办法前附表。</w:t>
      </w:r>
    </w:p>
    <w:p w14:paraId="1E5CB788">
      <w:pPr>
        <w:spacing w:line="520" w:lineRule="exact"/>
        <w:ind w:firstLine="240" w:firstLineChars="100"/>
        <w:rPr>
          <w:rFonts w:ascii="Times New Roman" w:hAnsi="Times New Roman"/>
          <w:color w:val="auto"/>
          <w:sz w:val="24"/>
          <w:szCs w:val="24"/>
          <w:highlight w:val="none"/>
        </w:rPr>
      </w:pPr>
      <w:r>
        <w:rPr>
          <w:rFonts w:ascii="Times New Roman" w:hAnsi="Times New Roman"/>
          <w:color w:val="auto"/>
          <w:sz w:val="24"/>
          <w:szCs w:val="24"/>
          <w:highlight w:val="none"/>
        </w:rPr>
        <w:t>2.3.2</w:t>
      </w:r>
      <w:r>
        <w:rPr>
          <w:rFonts w:hint="eastAsia" w:ascii="Times New Roman" w:hAnsi="Times New Roman"/>
          <w:color w:val="auto"/>
          <w:sz w:val="24"/>
          <w:szCs w:val="24"/>
          <w:highlight w:val="none"/>
        </w:rPr>
        <w:t>评标基准价与偏差率计算方法：见评标办法。</w:t>
      </w:r>
    </w:p>
    <w:p w14:paraId="4D3A3360">
      <w:pPr>
        <w:spacing w:line="520" w:lineRule="exact"/>
        <w:ind w:firstLine="240" w:firstLineChars="100"/>
        <w:rPr>
          <w:rFonts w:ascii="Times New Roman" w:hAnsi="Times New Roman"/>
          <w:color w:val="auto"/>
          <w:sz w:val="24"/>
          <w:szCs w:val="24"/>
          <w:highlight w:val="none"/>
        </w:rPr>
      </w:pPr>
      <w:r>
        <w:rPr>
          <w:rFonts w:ascii="Times New Roman" w:hAnsi="Times New Roman"/>
          <w:color w:val="auto"/>
          <w:sz w:val="24"/>
          <w:szCs w:val="24"/>
          <w:highlight w:val="none"/>
        </w:rPr>
        <w:t>2.3.3</w:t>
      </w:r>
      <w:r>
        <w:rPr>
          <w:rFonts w:hint="eastAsia" w:ascii="Times New Roman" w:hAnsi="Times New Roman"/>
          <w:color w:val="auto"/>
          <w:sz w:val="24"/>
          <w:szCs w:val="24"/>
          <w:highlight w:val="none"/>
        </w:rPr>
        <w:t>评标标准：见评标办法前附表。</w:t>
      </w:r>
    </w:p>
    <w:p w14:paraId="5777A29B">
      <w:pPr>
        <w:spacing w:line="520" w:lineRule="exact"/>
        <w:ind w:firstLine="240" w:firstLineChars="100"/>
        <w:rPr>
          <w:rFonts w:ascii="Times New Roman" w:hAnsi="Times New Roman"/>
          <w:color w:val="auto"/>
          <w:sz w:val="24"/>
          <w:szCs w:val="24"/>
          <w:highlight w:val="none"/>
        </w:rPr>
      </w:pPr>
      <w:r>
        <w:rPr>
          <w:rFonts w:ascii="Times New Roman" w:hAnsi="Times New Roman"/>
          <w:color w:val="auto"/>
          <w:sz w:val="24"/>
          <w:szCs w:val="24"/>
          <w:highlight w:val="none"/>
        </w:rPr>
        <w:t>2.3.4</w:t>
      </w:r>
      <w:r>
        <w:rPr>
          <w:rFonts w:hint="eastAsia" w:ascii="Times New Roman" w:hAnsi="Times New Roman"/>
          <w:color w:val="auto"/>
          <w:sz w:val="24"/>
          <w:szCs w:val="24"/>
          <w:highlight w:val="none"/>
        </w:rPr>
        <w:t>评分分值计算保留小数点后两位，小数点后第三位“四舍五入”。</w:t>
      </w:r>
    </w:p>
    <w:p w14:paraId="1B83DD0E">
      <w:pPr>
        <w:spacing w:line="520" w:lineRule="exact"/>
        <w:ind w:firstLine="240" w:firstLineChars="100"/>
        <w:rPr>
          <w:rFonts w:ascii="Times New Roman" w:hAnsi="Times New Roman"/>
          <w:color w:val="auto"/>
          <w:sz w:val="24"/>
          <w:szCs w:val="24"/>
          <w:highlight w:val="none"/>
        </w:rPr>
      </w:pPr>
      <w:r>
        <w:rPr>
          <w:rFonts w:ascii="Times New Roman" w:hAnsi="Times New Roman"/>
          <w:color w:val="auto"/>
          <w:sz w:val="24"/>
          <w:szCs w:val="24"/>
          <w:highlight w:val="none"/>
        </w:rPr>
        <w:t>2.3.5</w:t>
      </w:r>
      <w:r>
        <w:rPr>
          <w:rFonts w:hint="eastAsia" w:ascii="Times New Roman" w:hAnsi="Times New Roman"/>
          <w:color w:val="auto"/>
          <w:sz w:val="24"/>
          <w:szCs w:val="24"/>
          <w:highlight w:val="none"/>
        </w:rPr>
        <w:t>供应商得分</w:t>
      </w:r>
      <w:r>
        <w:rPr>
          <w:rFonts w:ascii="Times New Roman" w:hAnsi="Times New Roman"/>
          <w:color w:val="auto"/>
          <w:sz w:val="24"/>
          <w:szCs w:val="24"/>
          <w:highlight w:val="none"/>
        </w:rPr>
        <w:t>=</w:t>
      </w:r>
      <w:r>
        <w:rPr>
          <w:rFonts w:hint="eastAsia" w:ascii="Times New Roman" w:hAnsi="Times New Roman"/>
          <w:color w:val="auto"/>
          <w:sz w:val="24"/>
          <w:szCs w:val="24"/>
          <w:highlight w:val="none"/>
        </w:rPr>
        <w:t>商务标得分</w:t>
      </w:r>
      <w:r>
        <w:rPr>
          <w:rFonts w:ascii="Times New Roman" w:hAnsi="Times New Roman"/>
          <w:color w:val="auto"/>
          <w:sz w:val="24"/>
          <w:szCs w:val="24"/>
          <w:highlight w:val="none"/>
        </w:rPr>
        <w:t>+</w:t>
      </w:r>
      <w:r>
        <w:rPr>
          <w:rFonts w:hint="eastAsia" w:ascii="Times New Roman" w:hAnsi="Times New Roman"/>
          <w:color w:val="auto"/>
          <w:sz w:val="24"/>
          <w:szCs w:val="24"/>
          <w:highlight w:val="none"/>
        </w:rPr>
        <w:t>技术标得分。</w:t>
      </w:r>
    </w:p>
    <w:p w14:paraId="78812BE3">
      <w:pPr>
        <w:spacing w:line="520" w:lineRule="exact"/>
        <w:ind w:firstLine="241" w:firstLineChars="100"/>
        <w:rPr>
          <w:rFonts w:ascii="Times New Roman" w:hAnsi="Times New Roman"/>
          <w:color w:val="auto"/>
          <w:sz w:val="24"/>
          <w:szCs w:val="24"/>
          <w:highlight w:val="none"/>
        </w:rPr>
      </w:pPr>
      <w:r>
        <w:rPr>
          <w:rFonts w:ascii="Times New Roman" w:hAnsi="Times New Roman"/>
          <w:b/>
          <w:bCs/>
          <w:color w:val="auto"/>
          <w:sz w:val="24"/>
          <w:szCs w:val="24"/>
          <w:highlight w:val="none"/>
        </w:rPr>
        <w:t>2.3.6</w:t>
      </w:r>
      <w:r>
        <w:rPr>
          <w:rFonts w:hint="eastAsia" w:ascii="Times New Roman" w:hAnsi="Times New Roman"/>
          <w:b/>
          <w:bCs/>
          <w:color w:val="auto"/>
          <w:sz w:val="24"/>
          <w:szCs w:val="24"/>
          <w:highlight w:val="none"/>
        </w:rPr>
        <w:t>评标委员</w:t>
      </w:r>
      <w:r>
        <w:rPr>
          <w:rFonts w:hint="eastAsia" w:ascii="Times New Roman" w:hAnsi="Times New Roman"/>
          <w:b/>
          <w:bCs/>
          <w:color w:val="auto"/>
          <w:szCs w:val="21"/>
          <w:highlight w:val="none"/>
        </w:rPr>
        <w:t>会认为投标人的报价明显低于其他通过符合性审查的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9174CCE">
      <w:pPr>
        <w:spacing w:line="360" w:lineRule="auto"/>
        <w:ind w:firstLine="241" w:firstLineChars="100"/>
        <w:rPr>
          <w:rFonts w:ascii="Times New Roman" w:hAnsi="Times New Roman"/>
          <w:b/>
          <w:bCs/>
          <w:color w:val="auto"/>
          <w:sz w:val="24"/>
          <w:szCs w:val="24"/>
          <w:highlight w:val="none"/>
        </w:rPr>
      </w:pPr>
      <w:r>
        <w:rPr>
          <w:rFonts w:ascii="Times New Roman" w:hAnsi="Times New Roman"/>
          <w:b/>
          <w:bCs/>
          <w:color w:val="auto"/>
          <w:sz w:val="24"/>
          <w:szCs w:val="24"/>
          <w:highlight w:val="none"/>
        </w:rPr>
        <w:t>3.</w:t>
      </w:r>
      <w:r>
        <w:rPr>
          <w:rFonts w:hint="eastAsia" w:ascii="Times New Roman" w:hAnsi="Times New Roman"/>
          <w:b/>
          <w:bCs/>
          <w:color w:val="auto"/>
          <w:sz w:val="24"/>
          <w:szCs w:val="24"/>
          <w:highlight w:val="none"/>
        </w:rPr>
        <w:t>投标文件的澄清</w:t>
      </w:r>
    </w:p>
    <w:p w14:paraId="288D5C17">
      <w:pPr>
        <w:autoSpaceDE w:val="0"/>
        <w:spacing w:line="360" w:lineRule="auto"/>
        <w:ind w:firstLine="240" w:firstLineChars="100"/>
        <w:rPr>
          <w:rFonts w:ascii="Times New Roman" w:hAnsi="Times New Roman"/>
          <w:b/>
          <w:color w:val="auto"/>
          <w:sz w:val="24"/>
          <w:szCs w:val="24"/>
          <w:highlight w:val="none"/>
        </w:rPr>
      </w:pPr>
      <w:r>
        <w:rPr>
          <w:rFonts w:ascii="Times New Roman" w:hAnsi="Times New Roman"/>
          <w:color w:val="auto"/>
          <w:sz w:val="24"/>
          <w:szCs w:val="24"/>
          <w:highlight w:val="none"/>
        </w:rPr>
        <w:t>3.1</w:t>
      </w:r>
      <w:r>
        <w:rPr>
          <w:rFonts w:hint="eastAsia" w:ascii="Times New Roman" w:hAnsi="Times New Roman"/>
          <w:color w:val="auto"/>
          <w:sz w:val="24"/>
          <w:szCs w:val="24"/>
          <w:highlight w:val="none"/>
        </w:rPr>
        <w:t>在评标过程中，对于投标文件中含义不明确、同类问题表述不一致或者有明显文字和计算错误的内容，评标委员会可以通过电子化交易平台要求供应商对所提交投标文件中不明确的内容进行澄清或说明，或者对细微偏差进行补正。评标委员会不接受供应商主动提出的澄清、说明或补正。</w:t>
      </w:r>
      <w:r>
        <w:rPr>
          <w:rFonts w:hint="eastAsia" w:ascii="Times New Roman" w:hAnsi="Times New Roman"/>
          <w:b/>
          <w:color w:val="auto"/>
          <w:sz w:val="24"/>
          <w:szCs w:val="24"/>
          <w:highlight w:val="none"/>
        </w:rPr>
        <w:t>（具体操作详见电子化注意事项）</w:t>
      </w:r>
    </w:p>
    <w:p w14:paraId="628AFF7E">
      <w:pPr>
        <w:tabs>
          <w:tab w:val="left" w:pos="720"/>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3.2</w:t>
      </w:r>
      <w:r>
        <w:rPr>
          <w:rFonts w:hint="eastAsia" w:ascii="Times New Roman" w:hAnsi="Times New Roman"/>
          <w:color w:val="auto"/>
          <w:sz w:val="24"/>
          <w:szCs w:val="24"/>
          <w:highlight w:val="none"/>
        </w:rPr>
        <w:t>供应商的澄清、说明或者补正应当通过三门峡市公共资源交易平台操作进行。供应商的澄清、说明或者补正不得超出投标文件的范围或者改变投标文件的实质性内容。</w:t>
      </w:r>
    </w:p>
    <w:p w14:paraId="449250FF">
      <w:pPr>
        <w:spacing w:line="360" w:lineRule="auto"/>
        <w:ind w:firstLine="424" w:firstLineChars="176"/>
        <w:rPr>
          <w:rFonts w:ascii="Times New Roman" w:hAnsi="Times New Roman"/>
          <w:b/>
          <w:bCs/>
          <w:color w:val="auto"/>
          <w:sz w:val="24"/>
          <w:szCs w:val="24"/>
          <w:highlight w:val="none"/>
        </w:rPr>
      </w:pPr>
      <w:r>
        <w:rPr>
          <w:rFonts w:ascii="Times New Roman" w:hAnsi="Times New Roman"/>
          <w:b/>
          <w:bCs/>
          <w:color w:val="auto"/>
          <w:sz w:val="24"/>
          <w:szCs w:val="24"/>
          <w:highlight w:val="none"/>
        </w:rPr>
        <w:t>4.</w:t>
      </w:r>
      <w:r>
        <w:rPr>
          <w:rFonts w:hint="eastAsia" w:ascii="Times New Roman" w:hAnsi="Times New Roman"/>
          <w:b/>
          <w:bCs/>
          <w:color w:val="auto"/>
          <w:sz w:val="24"/>
          <w:szCs w:val="24"/>
          <w:highlight w:val="none"/>
        </w:rPr>
        <w:t>投标文件计算错误的修正</w:t>
      </w:r>
    </w:p>
    <w:p w14:paraId="09BD188E">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4.1</w:t>
      </w:r>
      <w:r>
        <w:rPr>
          <w:rFonts w:hint="eastAsia" w:ascii="Times New Roman" w:hAnsi="Times New Roman"/>
          <w:color w:val="auto"/>
          <w:sz w:val="24"/>
          <w:szCs w:val="24"/>
          <w:highlight w:val="none"/>
        </w:rPr>
        <w:t>评标委员会将对确定为实质上响应招标文件要求的投标文件进行校核，看其是否有计算或表达上的错误，修正错误的原则如下：</w:t>
      </w:r>
    </w:p>
    <w:p w14:paraId="5AE635CC">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4.1.1</w:t>
      </w:r>
      <w:r>
        <w:rPr>
          <w:rFonts w:hint="eastAsia" w:ascii="Times New Roman" w:hAnsi="Times New Roman"/>
          <w:color w:val="auto"/>
          <w:sz w:val="24"/>
          <w:szCs w:val="24"/>
          <w:highlight w:val="none"/>
        </w:rPr>
        <w:t>投标文件中的大写金额和小写金额不一致的，以大写金额为准；</w:t>
      </w:r>
    </w:p>
    <w:p w14:paraId="145BD0EC">
      <w:pPr>
        <w:spacing w:line="360" w:lineRule="auto"/>
        <w:ind w:firstLine="480"/>
        <w:jc w:val="left"/>
        <w:rPr>
          <w:rFonts w:ascii="Times New Roman" w:hAnsi="Times New Roman"/>
          <w:color w:val="auto"/>
          <w:sz w:val="24"/>
          <w:szCs w:val="24"/>
          <w:highlight w:val="none"/>
        </w:rPr>
      </w:pPr>
      <w:r>
        <w:rPr>
          <w:rFonts w:ascii="Times New Roman" w:hAnsi="Times New Roman"/>
          <w:color w:val="auto"/>
          <w:sz w:val="24"/>
          <w:szCs w:val="24"/>
          <w:highlight w:val="none"/>
        </w:rPr>
        <w:t>4.1.2</w:t>
      </w:r>
      <w:r>
        <w:rPr>
          <w:rFonts w:hint="eastAsia" w:ascii="Times New Roman" w:hAnsi="Times New Roman"/>
          <w:color w:val="auto"/>
          <w:sz w:val="24"/>
          <w:szCs w:val="24"/>
          <w:highlight w:val="none"/>
        </w:rPr>
        <w:t>投标文件中投标函、投标函附录、投标报价明细表等所有报价均一致。若出现不一致时以投标报价明细表报价为准；</w:t>
      </w:r>
    </w:p>
    <w:p w14:paraId="11F40DEF">
      <w:pPr>
        <w:spacing w:line="360" w:lineRule="auto"/>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4.1.3</w:t>
      </w:r>
      <w:r>
        <w:rPr>
          <w:rFonts w:hint="eastAsia" w:ascii="Times New Roman" w:hAnsi="Times New Roman"/>
          <w:color w:val="auto"/>
          <w:sz w:val="24"/>
          <w:szCs w:val="24"/>
          <w:highlight w:val="none"/>
        </w:rPr>
        <w:t>单价金额小数点或者百分比有明显错位的，以总价为准，并修改单价；</w:t>
      </w:r>
    </w:p>
    <w:p w14:paraId="33222FAC">
      <w:pPr>
        <w:spacing w:line="360" w:lineRule="auto"/>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4.1.4</w:t>
      </w:r>
      <w:r>
        <w:rPr>
          <w:rFonts w:hint="eastAsia" w:ascii="Times New Roman" w:hAnsi="Times New Roman"/>
          <w:color w:val="auto"/>
          <w:sz w:val="24"/>
          <w:szCs w:val="24"/>
          <w:highlight w:val="none"/>
        </w:rPr>
        <w:t>总价金额与按单价汇总金额不一致的，以单价金额计算结果为准。</w:t>
      </w:r>
    </w:p>
    <w:p w14:paraId="03DE0E8B">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4.2</w:t>
      </w:r>
      <w:r>
        <w:rPr>
          <w:rFonts w:hint="eastAsia" w:ascii="Times New Roman" w:hAnsi="Times New Roman"/>
          <w:color w:val="auto"/>
          <w:sz w:val="24"/>
          <w:szCs w:val="24"/>
          <w:highlight w:val="none"/>
        </w:rPr>
        <w:t>按上述修正错误的原则及方法调整或修正投标文件的投标报价，投标供应商同意后，调整后的投标报价对投标供应商起约束作用。如果投标供应商不接受修正后的报价，则其投标将被拒绝，并不影响评标工作。</w:t>
      </w:r>
    </w:p>
    <w:p w14:paraId="419B95BE">
      <w:pPr>
        <w:spacing w:line="360" w:lineRule="auto"/>
        <w:ind w:firstLine="472" w:firstLineChars="196"/>
        <w:rPr>
          <w:rFonts w:ascii="Times New Roman" w:hAnsi="Times New Roman"/>
          <w:b/>
          <w:bCs/>
          <w:color w:val="auto"/>
          <w:sz w:val="24"/>
          <w:szCs w:val="24"/>
          <w:highlight w:val="none"/>
        </w:rPr>
      </w:pPr>
      <w:r>
        <w:rPr>
          <w:rFonts w:ascii="Times New Roman" w:hAnsi="Times New Roman"/>
          <w:b/>
          <w:bCs/>
          <w:color w:val="auto"/>
          <w:sz w:val="24"/>
          <w:szCs w:val="24"/>
          <w:highlight w:val="none"/>
        </w:rPr>
        <w:t>5.</w:t>
      </w:r>
      <w:r>
        <w:rPr>
          <w:rFonts w:hint="eastAsia" w:ascii="Times New Roman" w:hAnsi="Times New Roman"/>
          <w:b/>
          <w:bCs/>
          <w:color w:val="auto"/>
          <w:sz w:val="24"/>
          <w:szCs w:val="24"/>
          <w:highlight w:val="none"/>
        </w:rPr>
        <w:t>投标文件有下列情形之一的，为未能对招标文件作出实质性响应，由评标委员会初审后按无效标处理：</w:t>
      </w:r>
    </w:p>
    <w:p w14:paraId="43208F81">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5.1</w:t>
      </w:r>
      <w:r>
        <w:rPr>
          <w:rFonts w:hint="eastAsia" w:ascii="Times New Roman" w:hAnsi="Times New Roman"/>
          <w:color w:val="auto"/>
          <w:sz w:val="24"/>
          <w:szCs w:val="24"/>
          <w:highlight w:val="none"/>
        </w:rPr>
        <w:t>投标供应商在生成电子化投标文件后，应对电子化投标文件进行签章，未进行签章的视为无效投标。</w:t>
      </w:r>
    </w:p>
    <w:p w14:paraId="25656A8C">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5.2</w:t>
      </w:r>
      <w:r>
        <w:rPr>
          <w:rFonts w:hint="eastAsia" w:ascii="Times New Roman" w:hAnsi="Times New Roman"/>
          <w:color w:val="auto"/>
          <w:sz w:val="24"/>
          <w:szCs w:val="24"/>
          <w:highlight w:val="none"/>
        </w:rPr>
        <w:t>投标供应商资格条件不符合国家有关规定和招标文件要求的；</w:t>
      </w:r>
    </w:p>
    <w:p w14:paraId="15E1A71C">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5.3</w:t>
      </w:r>
      <w:r>
        <w:rPr>
          <w:rFonts w:hint="eastAsia" w:ascii="Times New Roman" w:hAnsi="Times New Roman"/>
          <w:color w:val="auto"/>
          <w:sz w:val="24"/>
          <w:szCs w:val="24"/>
          <w:highlight w:val="none"/>
        </w:rPr>
        <w:t>投标文件载明的招标项目完成期限超过招标文件规定期限的；</w:t>
      </w:r>
    </w:p>
    <w:p w14:paraId="388B9834">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5.4</w:t>
      </w:r>
      <w:r>
        <w:rPr>
          <w:rFonts w:hint="eastAsia" w:ascii="Times New Roman" w:hAnsi="Times New Roman"/>
          <w:color w:val="auto"/>
          <w:sz w:val="24"/>
          <w:szCs w:val="24"/>
          <w:highlight w:val="none"/>
        </w:rPr>
        <w:t>投标供应商的报价明显低于其他投标供应商报价，使得其投标报价可能低于其成本的，当评委会要求该投标供应商做出书面说明并提供相关证明材料，而投标供应商不能合理说明或者不能提供相关证明材料的，由评标委员会认定该投标供应商以低于成本报价竞标，其投标应做无效标处理；</w:t>
      </w:r>
    </w:p>
    <w:p w14:paraId="4EAE128A">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5.5</w:t>
      </w:r>
      <w:r>
        <w:rPr>
          <w:rFonts w:hint="eastAsia" w:ascii="Times New Roman" w:hAnsi="Times New Roman"/>
          <w:color w:val="auto"/>
          <w:sz w:val="24"/>
          <w:szCs w:val="24"/>
          <w:highlight w:val="none"/>
        </w:rPr>
        <w:t>投标文件附有采购人不能接受的条件的；</w:t>
      </w:r>
    </w:p>
    <w:p w14:paraId="623F72AC">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5.6</w:t>
      </w:r>
      <w:r>
        <w:rPr>
          <w:rFonts w:hint="eastAsia" w:ascii="Times New Roman" w:hAnsi="Times New Roman"/>
          <w:color w:val="auto"/>
          <w:sz w:val="24"/>
          <w:szCs w:val="24"/>
          <w:highlight w:val="none"/>
        </w:rPr>
        <w:t>以他人的名义投标、串通投标、以行贿手段谋取中标或者以其他弄虚作假方式投标的；</w:t>
      </w:r>
    </w:p>
    <w:p w14:paraId="66C93D25">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5.7</w:t>
      </w:r>
      <w:r>
        <w:rPr>
          <w:rFonts w:hint="eastAsia" w:ascii="Times New Roman" w:hAnsi="Times New Roman"/>
          <w:color w:val="auto"/>
          <w:sz w:val="24"/>
          <w:szCs w:val="24"/>
          <w:highlight w:val="none"/>
        </w:rPr>
        <w:t>采取不正当手段谋取中标的；</w:t>
      </w:r>
    </w:p>
    <w:p w14:paraId="16F9D1CA">
      <w:pPr>
        <w:spacing w:line="360" w:lineRule="auto"/>
        <w:ind w:firstLine="482" w:firstLineChars="200"/>
        <w:rPr>
          <w:rFonts w:ascii="Times New Roman" w:hAnsi="Times New Roman"/>
          <w:b/>
          <w:color w:val="auto"/>
          <w:sz w:val="24"/>
          <w:szCs w:val="24"/>
          <w:highlight w:val="none"/>
        </w:rPr>
      </w:pPr>
      <w:r>
        <w:rPr>
          <w:rFonts w:hint="eastAsia" w:ascii="Times New Roman" w:hAnsi="Times New Roman"/>
          <w:b/>
          <w:color w:val="auto"/>
          <w:sz w:val="24"/>
          <w:szCs w:val="24"/>
          <w:highlight w:val="none"/>
        </w:rPr>
        <w:t>注：“</w:t>
      </w:r>
      <w:r>
        <w:rPr>
          <w:rFonts w:ascii="Times New Roman" w:hAnsi="Times New Roman"/>
          <w:b/>
          <w:color w:val="auto"/>
          <w:sz w:val="24"/>
          <w:szCs w:val="24"/>
          <w:highlight w:val="none"/>
        </w:rPr>
        <w:t>5.4</w:t>
      </w:r>
      <w:r>
        <w:rPr>
          <w:rFonts w:hint="eastAsia" w:ascii="Times New Roman" w:hAnsi="Times New Roman"/>
          <w:b/>
          <w:color w:val="auto"/>
          <w:sz w:val="24"/>
          <w:szCs w:val="24"/>
          <w:highlight w:val="none"/>
        </w:rPr>
        <w:t>项</w:t>
      </w:r>
      <w:r>
        <w:rPr>
          <w:rFonts w:ascii="Times New Roman" w:hAnsi="Times New Roman"/>
          <w:b/>
          <w:color w:val="auto"/>
          <w:sz w:val="24"/>
          <w:szCs w:val="24"/>
          <w:highlight w:val="none"/>
        </w:rPr>
        <w:t xml:space="preserve"> </w:t>
      </w:r>
      <w:r>
        <w:rPr>
          <w:rFonts w:hint="eastAsia" w:ascii="Times New Roman" w:hAnsi="Times New Roman"/>
          <w:b/>
          <w:color w:val="auto"/>
          <w:sz w:val="24"/>
          <w:szCs w:val="24"/>
          <w:highlight w:val="none"/>
        </w:rPr>
        <w:t>相关证明资料”主要指价格构成相关材料。</w:t>
      </w:r>
    </w:p>
    <w:p w14:paraId="5E066946">
      <w:pPr>
        <w:spacing w:line="360" w:lineRule="auto"/>
        <w:ind w:firstLine="480" w:firstLineChars="200"/>
        <w:rPr>
          <w:rFonts w:ascii="Times New Roman" w:hAnsi="Times New Roman"/>
          <w:color w:val="auto"/>
          <w:sz w:val="24"/>
          <w:szCs w:val="24"/>
          <w:highlight w:val="none"/>
        </w:rPr>
      </w:pPr>
      <w:r>
        <w:rPr>
          <w:rFonts w:hint="eastAsia" w:ascii="宋体" w:hAnsi="宋体" w:cs="宋体"/>
          <w:color w:val="auto"/>
          <w:sz w:val="24"/>
          <w:szCs w:val="24"/>
          <w:highlight w:val="none"/>
        </w:rPr>
        <w:t>①</w:t>
      </w:r>
      <w:r>
        <w:rPr>
          <w:rFonts w:hint="eastAsia" w:ascii="Times New Roman" w:hAnsi="Times New Roman"/>
          <w:color w:val="auto"/>
          <w:sz w:val="24"/>
          <w:szCs w:val="24"/>
          <w:highlight w:val="none"/>
        </w:rPr>
        <w:t>货物的原材料或进货成本；</w:t>
      </w:r>
      <w:r>
        <w:rPr>
          <w:rFonts w:hint="eastAsia" w:ascii="宋体" w:hAnsi="宋体" w:cs="宋体"/>
          <w:color w:val="auto"/>
          <w:sz w:val="24"/>
          <w:szCs w:val="24"/>
          <w:highlight w:val="none"/>
        </w:rPr>
        <w:t>②</w:t>
      </w:r>
      <w:r>
        <w:rPr>
          <w:rFonts w:hint="eastAsia" w:ascii="Times New Roman" w:hAnsi="Times New Roman"/>
          <w:color w:val="auto"/>
          <w:sz w:val="24"/>
          <w:szCs w:val="24"/>
          <w:highlight w:val="none"/>
        </w:rPr>
        <w:t>加工、仓储和运输成本；</w:t>
      </w:r>
      <w:r>
        <w:rPr>
          <w:rFonts w:hint="eastAsia" w:ascii="宋体" w:hAnsi="宋体" w:cs="宋体"/>
          <w:color w:val="auto"/>
          <w:sz w:val="24"/>
          <w:szCs w:val="24"/>
          <w:highlight w:val="none"/>
        </w:rPr>
        <w:t>③</w:t>
      </w:r>
      <w:r>
        <w:rPr>
          <w:rFonts w:hint="eastAsia" w:ascii="Times New Roman" w:hAnsi="Times New Roman"/>
          <w:color w:val="auto"/>
          <w:sz w:val="24"/>
          <w:szCs w:val="24"/>
          <w:highlight w:val="none"/>
        </w:rPr>
        <w:t>材料损耗和设备折旧成本；</w:t>
      </w:r>
      <w:r>
        <w:rPr>
          <w:rFonts w:hint="eastAsia" w:ascii="宋体" w:hAnsi="宋体" w:cs="宋体"/>
          <w:color w:val="auto"/>
          <w:sz w:val="24"/>
          <w:szCs w:val="24"/>
          <w:highlight w:val="none"/>
        </w:rPr>
        <w:t>④</w:t>
      </w:r>
      <w:r>
        <w:rPr>
          <w:rFonts w:hint="eastAsia" w:ascii="Times New Roman" w:hAnsi="Times New Roman"/>
          <w:color w:val="auto"/>
          <w:sz w:val="24"/>
          <w:szCs w:val="24"/>
          <w:highlight w:val="none"/>
        </w:rPr>
        <w:t>安装、调试和维护成本；</w:t>
      </w:r>
      <w:r>
        <w:rPr>
          <w:rFonts w:hint="eastAsia" w:ascii="宋体" w:hAnsi="宋体" w:cs="宋体"/>
          <w:color w:val="auto"/>
          <w:sz w:val="24"/>
          <w:szCs w:val="24"/>
          <w:highlight w:val="none"/>
        </w:rPr>
        <w:t>⑤</w:t>
      </w:r>
      <w:r>
        <w:rPr>
          <w:rFonts w:hint="eastAsia" w:ascii="Times New Roman" w:hAnsi="Times New Roman"/>
          <w:color w:val="auto"/>
          <w:sz w:val="24"/>
          <w:szCs w:val="24"/>
          <w:highlight w:val="none"/>
        </w:rPr>
        <w:t>投入项目人员的薪资、福利、社保等人工成本；</w:t>
      </w:r>
      <w:r>
        <w:rPr>
          <w:rFonts w:hint="eastAsia" w:ascii="宋体" w:hAnsi="宋体" w:cs="宋体"/>
          <w:color w:val="auto"/>
          <w:sz w:val="24"/>
          <w:szCs w:val="24"/>
          <w:highlight w:val="none"/>
        </w:rPr>
        <w:t>⑥</w:t>
      </w:r>
      <w:r>
        <w:rPr>
          <w:rFonts w:hint="eastAsia" w:ascii="Times New Roman" w:hAnsi="Times New Roman"/>
          <w:color w:val="auto"/>
          <w:sz w:val="24"/>
          <w:szCs w:val="24"/>
          <w:highlight w:val="none"/>
        </w:rPr>
        <w:t>企业税收和财务成本；</w:t>
      </w:r>
      <w:r>
        <w:rPr>
          <w:rFonts w:hint="eastAsia" w:ascii="宋体" w:hAnsi="宋体" w:cs="宋体"/>
          <w:color w:val="auto"/>
          <w:sz w:val="24"/>
          <w:szCs w:val="24"/>
          <w:highlight w:val="none"/>
        </w:rPr>
        <w:t>⑦</w:t>
      </w:r>
      <w:r>
        <w:rPr>
          <w:rFonts w:hint="eastAsia" w:ascii="Times New Roman" w:hAnsi="Times New Roman"/>
          <w:color w:val="auto"/>
          <w:sz w:val="24"/>
          <w:szCs w:val="24"/>
          <w:highlight w:val="none"/>
        </w:rPr>
        <w:t>风险准备；</w:t>
      </w:r>
      <w:r>
        <w:rPr>
          <w:rFonts w:hint="eastAsia" w:ascii="宋体" w:hAnsi="宋体" w:cs="宋体"/>
          <w:color w:val="auto"/>
          <w:sz w:val="24"/>
          <w:szCs w:val="24"/>
          <w:highlight w:val="none"/>
        </w:rPr>
        <w:t>⑧</w:t>
      </w:r>
      <w:r>
        <w:rPr>
          <w:rFonts w:hint="eastAsia" w:ascii="Times New Roman" w:hAnsi="Times New Roman"/>
          <w:color w:val="auto"/>
          <w:sz w:val="24"/>
          <w:szCs w:val="24"/>
          <w:highlight w:val="none"/>
        </w:rPr>
        <w:t>合理利润等。</w:t>
      </w:r>
    </w:p>
    <w:p w14:paraId="37F67C09">
      <w:pPr>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p>
    <w:p w14:paraId="15270A62">
      <w:pPr>
        <w:spacing w:line="360" w:lineRule="auto"/>
        <w:ind w:firstLine="424" w:firstLineChars="176"/>
        <w:rPr>
          <w:rFonts w:ascii="Times New Roman" w:hAnsi="Times New Roman"/>
          <w:b/>
          <w:bCs/>
          <w:color w:val="auto"/>
          <w:sz w:val="24"/>
          <w:szCs w:val="24"/>
          <w:highlight w:val="none"/>
        </w:rPr>
      </w:pPr>
      <w:r>
        <w:rPr>
          <w:rFonts w:ascii="Times New Roman" w:hAnsi="Times New Roman"/>
          <w:b/>
          <w:bCs/>
          <w:color w:val="auto"/>
          <w:sz w:val="24"/>
          <w:szCs w:val="24"/>
          <w:highlight w:val="none"/>
        </w:rPr>
        <w:t xml:space="preserve"> 6</w:t>
      </w:r>
      <w:r>
        <w:rPr>
          <w:rFonts w:hint="eastAsia" w:ascii="Times New Roman" w:hAnsi="Times New Roman"/>
          <w:b/>
          <w:bCs/>
          <w:color w:val="auto"/>
          <w:sz w:val="24"/>
          <w:szCs w:val="24"/>
          <w:highlight w:val="none"/>
        </w:rPr>
        <w:t>、综合比较与评价</w:t>
      </w:r>
    </w:p>
    <w:p w14:paraId="3409C701">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6.1</w:t>
      </w:r>
      <w:r>
        <w:rPr>
          <w:rFonts w:hint="eastAsia" w:ascii="Times New Roman" w:hAnsi="Times New Roman"/>
          <w:color w:val="auto"/>
          <w:sz w:val="24"/>
          <w:szCs w:val="24"/>
          <w:highlight w:val="none"/>
        </w:rPr>
        <w:t>评标委员会按照招标文件中规定的评标方法和标准</w:t>
      </w:r>
      <w:r>
        <w:rPr>
          <w:rFonts w:hint="eastAsia" w:ascii="Times New Roman" w:hAnsi="Times New Roman"/>
          <w:b/>
          <w:color w:val="auto"/>
          <w:sz w:val="24"/>
          <w:szCs w:val="24"/>
          <w:highlight w:val="none"/>
        </w:rPr>
        <w:t>（详见附件三：评分标准）</w:t>
      </w:r>
      <w:r>
        <w:rPr>
          <w:rFonts w:hint="eastAsia" w:ascii="Times New Roman" w:hAnsi="Times New Roman"/>
          <w:color w:val="auto"/>
          <w:sz w:val="24"/>
          <w:szCs w:val="24"/>
          <w:highlight w:val="none"/>
        </w:rPr>
        <w:t>，对符合性审查合格的投标文件进行商务和技术评估，综合比较与评价。</w:t>
      </w:r>
    </w:p>
    <w:p w14:paraId="2B5B3AEE">
      <w:pPr>
        <w:spacing w:line="360" w:lineRule="auto"/>
        <w:ind w:firstLine="480" w:firstLineChars="200"/>
        <w:rPr>
          <w:rFonts w:ascii="Times New Roman" w:hAnsi="Times New Roman"/>
          <w:color w:val="auto"/>
          <w:sz w:val="24"/>
          <w:szCs w:val="24"/>
          <w:highlight w:val="none"/>
          <w:shd w:val="clear" w:color="auto" w:fill="FFFFFF"/>
          <w:lang w:bidi="ar"/>
        </w:rPr>
      </w:pPr>
      <w:r>
        <w:rPr>
          <w:rFonts w:ascii="Times New Roman" w:hAnsi="Times New Roman"/>
          <w:color w:val="auto"/>
          <w:sz w:val="24"/>
          <w:szCs w:val="24"/>
          <w:highlight w:val="none"/>
          <w:shd w:val="clear" w:color="auto" w:fill="FFFFFF"/>
          <w:lang w:bidi="ar"/>
        </w:rPr>
        <w:t>6.2</w:t>
      </w:r>
      <w:bookmarkStart w:id="471" w:name="OLE_LINK81"/>
      <w:r>
        <w:rPr>
          <w:rFonts w:hint="eastAsia" w:ascii="Times New Roman" w:hAnsi="Times New Roman"/>
          <w:color w:val="auto"/>
          <w:sz w:val="24"/>
          <w:szCs w:val="24"/>
          <w:highlight w:val="none"/>
          <w:shd w:val="clear" w:color="auto" w:fill="FFFFFF"/>
          <w:lang w:bidi="ar"/>
        </w:rPr>
        <w:t>相同品牌产品投标的处理</w:t>
      </w:r>
      <w:bookmarkEnd w:id="471"/>
    </w:p>
    <w:p w14:paraId="1778F59E">
      <w:pPr>
        <w:spacing w:line="360" w:lineRule="auto"/>
        <w:ind w:firstLine="480" w:firstLineChars="200"/>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提供相同品牌产品且通过资格审查、符合性审查的不同投标人参加同一合同项下投标的，按一家投标人计算，评审后得分最高的同品牌投标人获得中标人推荐资格；评审得分相同的，投标报价最低的投标人获得中标人推荐资格，其他同品牌投标人不作为中标候选人。若报价相同的，以技术标得分最高的投标供应商获得中标供应商推荐资格。</w:t>
      </w:r>
    </w:p>
    <w:p w14:paraId="46B32977">
      <w:pPr>
        <w:spacing w:line="360" w:lineRule="auto"/>
        <w:ind w:firstLine="480" w:firstLineChars="200"/>
        <w:jc w:val="left"/>
        <w:rPr>
          <w:rFonts w:ascii="Times New Roman" w:hAnsi="Times New Roman"/>
          <w:color w:val="auto"/>
          <w:sz w:val="24"/>
          <w:szCs w:val="24"/>
          <w:highlight w:val="none"/>
        </w:rPr>
      </w:pPr>
      <w:r>
        <w:rPr>
          <w:rFonts w:hint="eastAsia" w:ascii="Times New Roman" w:hAnsi="Times New Roman"/>
          <w:color w:val="auto"/>
          <w:sz w:val="24"/>
          <w:szCs w:val="24"/>
          <w:highlight w:val="none"/>
          <w:shd w:val="clear" w:color="auto" w:fill="FFFFFF"/>
          <w:lang w:bidi="ar"/>
        </w:rPr>
        <w:t>非单一产品采购项目，采购人应当根据采购项目技术构成、产品价格比重等合理确定核心产品，并在招标文件中载明。多家投标人提供的核心产品品牌相同的，视为提供相同品牌产品。</w:t>
      </w:r>
    </w:p>
    <w:p w14:paraId="29C48470">
      <w:pPr>
        <w:tabs>
          <w:tab w:val="left" w:pos="720"/>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6.3</w:t>
      </w:r>
      <w:r>
        <w:rPr>
          <w:rFonts w:hint="eastAsia" w:ascii="Times New Roman" w:hAnsi="Times New Roman"/>
          <w:color w:val="auto"/>
          <w:sz w:val="24"/>
          <w:szCs w:val="24"/>
          <w:highlight w:val="none"/>
        </w:rPr>
        <w:t>评标时，评标委员会各成员应当独立对每个供应商的投标文件进行评价，并汇总每个供应商的得分。</w:t>
      </w:r>
    </w:p>
    <w:p w14:paraId="67051692">
      <w:pPr>
        <w:tabs>
          <w:tab w:val="left" w:pos="720"/>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6.4</w:t>
      </w:r>
      <w:r>
        <w:rPr>
          <w:rFonts w:hint="eastAsia" w:ascii="Times New Roman" w:hAnsi="Times New Roman"/>
          <w:color w:val="auto"/>
          <w:sz w:val="24"/>
          <w:szCs w:val="24"/>
          <w:highlight w:val="none"/>
        </w:rPr>
        <w:t>在评审过程中，评标委员会可以以书面形式要求投标供应商就电子化投标文件中含义不明确的内容进行书面说明并提供相关材料；凡遇到招标文件中无界定或界定不清、前后不一致使评委会成员意见有分歧且又难于协商一致的问题，均由评委会予以表决，获半数以上同意的即为通过，未获半数同意的即为否决。</w:t>
      </w:r>
    </w:p>
    <w:p w14:paraId="2606AE20">
      <w:pPr>
        <w:spacing w:line="360" w:lineRule="auto"/>
        <w:rPr>
          <w:rFonts w:ascii="Times New Roman" w:hAnsi="Times New Roman"/>
          <w:b/>
          <w:bCs/>
          <w:color w:val="auto"/>
          <w:sz w:val="24"/>
          <w:szCs w:val="24"/>
          <w:highlight w:val="none"/>
        </w:rPr>
      </w:pPr>
      <w:r>
        <w:rPr>
          <w:rFonts w:ascii="Times New Roman" w:hAnsi="Times New Roman"/>
          <w:color w:val="auto"/>
          <w:sz w:val="24"/>
          <w:szCs w:val="24"/>
          <w:highlight w:val="none"/>
        </w:rPr>
        <w:t xml:space="preserve">   </w:t>
      </w:r>
      <w:r>
        <w:rPr>
          <w:rFonts w:ascii="Times New Roman" w:hAnsi="Times New Roman"/>
          <w:b/>
          <w:bCs/>
          <w:color w:val="auto"/>
          <w:sz w:val="24"/>
          <w:szCs w:val="24"/>
          <w:highlight w:val="none"/>
        </w:rPr>
        <w:t>7</w:t>
      </w:r>
      <w:r>
        <w:rPr>
          <w:rFonts w:hint="eastAsia" w:ascii="Times New Roman" w:hAnsi="Times New Roman"/>
          <w:b/>
          <w:bCs/>
          <w:color w:val="auto"/>
          <w:sz w:val="24"/>
          <w:szCs w:val="24"/>
          <w:highlight w:val="none"/>
        </w:rPr>
        <w:t>、评标结果</w:t>
      </w:r>
    </w:p>
    <w:p w14:paraId="0E46801C">
      <w:pPr>
        <w:spacing w:line="360" w:lineRule="auto"/>
        <w:ind w:firstLine="480" w:firstLineChars="200"/>
        <w:jc w:val="left"/>
        <w:rPr>
          <w:rFonts w:ascii="Times New Roman" w:hAnsi="Times New Roman"/>
          <w:bCs/>
          <w:color w:val="auto"/>
          <w:sz w:val="24"/>
          <w:szCs w:val="24"/>
          <w:highlight w:val="none"/>
        </w:rPr>
      </w:pPr>
      <w:r>
        <w:rPr>
          <w:rFonts w:ascii="Times New Roman" w:hAnsi="Times New Roman"/>
          <w:color w:val="auto"/>
          <w:sz w:val="24"/>
          <w:szCs w:val="24"/>
          <w:highlight w:val="none"/>
        </w:rPr>
        <w:t>7.1</w:t>
      </w:r>
      <w:r>
        <w:rPr>
          <w:rFonts w:hint="eastAsia" w:ascii="Times New Roman" w:hAnsi="Times New Roman"/>
          <w:bCs/>
          <w:color w:val="auto"/>
          <w:sz w:val="24"/>
          <w:szCs w:val="24"/>
          <w:highlight w:val="none"/>
        </w:rPr>
        <w:t>评标结果按评审后得分由高到底顺序排列。</w:t>
      </w:r>
      <w:r>
        <w:rPr>
          <w:rFonts w:hint="eastAsia" w:ascii="Times New Roman" w:hAnsi="Times New Roman"/>
          <w:color w:val="auto"/>
          <w:sz w:val="24"/>
          <w:szCs w:val="24"/>
          <w:highlight w:val="none"/>
        </w:rPr>
        <w:t>得分相同的，按投标报价由低到高顺序排列。得分且投标报价相同的并列。投标文件满足招标文件全部实质性要求，且按照评审因素的量化指标评审得分最高的投标供应商为排名第一的中标候选人。</w:t>
      </w:r>
    </w:p>
    <w:p w14:paraId="6C6A175C">
      <w:pPr>
        <w:spacing w:line="360" w:lineRule="auto"/>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7.2</w:t>
      </w:r>
      <w:r>
        <w:rPr>
          <w:rFonts w:hint="eastAsia" w:ascii="Times New Roman" w:hAnsi="Times New Roman"/>
          <w:color w:val="auto"/>
          <w:sz w:val="24"/>
          <w:szCs w:val="24"/>
          <w:highlight w:val="none"/>
        </w:rPr>
        <w:t>评标委员会完成评标后，应当向采购人提交书面评标报告。</w:t>
      </w:r>
    </w:p>
    <w:p w14:paraId="7B1FD2E9">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7.3</w:t>
      </w:r>
      <w:r>
        <w:rPr>
          <w:rFonts w:hint="eastAsia" w:ascii="Times New Roman" w:hAnsi="Times New Roman"/>
          <w:color w:val="auto"/>
          <w:sz w:val="24"/>
          <w:szCs w:val="24"/>
          <w:highlight w:val="none"/>
        </w:rPr>
        <w:t>评标委员会成员对需要共同认定的事项存在争议的，应当按照少数服从多数的原则作出结论。持不同意见的评标委员会成员应当在评标报告上签署不同意见及理由，否则视为同意评标报告。评标委员会应当对此作出书面说明并记录在案。</w:t>
      </w:r>
    </w:p>
    <w:p w14:paraId="330B5D82">
      <w:pPr>
        <w:spacing w:line="360" w:lineRule="auto"/>
        <w:ind w:firstLine="480" w:firstLineChars="200"/>
        <w:rPr>
          <w:rFonts w:ascii="Times New Roman" w:hAnsi="Times New Roman"/>
          <w:color w:val="auto"/>
          <w:sz w:val="24"/>
          <w:szCs w:val="24"/>
          <w:highlight w:val="none"/>
        </w:rPr>
      </w:pPr>
    </w:p>
    <w:p w14:paraId="2024F72E">
      <w:pPr>
        <w:rPr>
          <w:rFonts w:ascii="Times New Roman" w:hAnsi="Times New Roman"/>
          <w:b/>
          <w:bCs/>
          <w:color w:val="auto"/>
          <w:sz w:val="24"/>
          <w:szCs w:val="24"/>
          <w:highlight w:val="none"/>
        </w:rPr>
      </w:pPr>
      <w:r>
        <w:rPr>
          <w:rFonts w:ascii="Times New Roman" w:hAnsi="Times New Roman"/>
          <w:b/>
          <w:bCs/>
          <w:color w:val="auto"/>
          <w:sz w:val="24"/>
          <w:szCs w:val="24"/>
          <w:highlight w:val="none"/>
        </w:rPr>
        <w:br w:type="page"/>
      </w:r>
    </w:p>
    <w:p w14:paraId="0FAE4181">
      <w:pPr>
        <w:spacing w:line="360" w:lineRule="auto"/>
        <w:jc w:val="center"/>
        <w:outlineLvl w:val="0"/>
        <w:rPr>
          <w:rFonts w:ascii="Times New Roman" w:hAnsi="Times New Roman" w:eastAsia="仿宋_GB2312"/>
          <w:b/>
          <w:bCs/>
          <w:color w:val="auto"/>
          <w:sz w:val="30"/>
          <w:szCs w:val="32"/>
          <w:highlight w:val="none"/>
          <w:shd w:val="clear" w:color="auto" w:fill="FFFFFF"/>
        </w:rPr>
      </w:pPr>
      <w:bookmarkStart w:id="472" w:name="_Toc176358371"/>
      <w:bookmarkStart w:id="473" w:name="OLE_LINK4"/>
      <w:bookmarkStart w:id="474" w:name="OLE_LINK3"/>
      <w:r>
        <w:rPr>
          <w:rFonts w:hint="eastAsia" w:ascii="Times New Roman" w:hAnsi="Times New Roman" w:eastAsia="仿宋_GB2312"/>
          <w:b/>
          <w:bCs/>
          <w:color w:val="auto"/>
          <w:sz w:val="30"/>
          <w:szCs w:val="32"/>
          <w:highlight w:val="none"/>
          <w:shd w:val="clear" w:color="auto" w:fill="FFFFFF"/>
        </w:rPr>
        <w:t>第五章</w:t>
      </w:r>
      <w:r>
        <w:rPr>
          <w:rFonts w:ascii="Times New Roman" w:hAnsi="Times New Roman" w:eastAsia="仿宋_GB2312"/>
          <w:b/>
          <w:bCs/>
          <w:color w:val="auto"/>
          <w:sz w:val="30"/>
          <w:szCs w:val="32"/>
          <w:highlight w:val="none"/>
          <w:shd w:val="clear" w:color="auto" w:fill="FFFFFF"/>
        </w:rPr>
        <w:t xml:space="preserve"> </w:t>
      </w:r>
      <w:r>
        <w:rPr>
          <w:rFonts w:hint="eastAsia" w:ascii="Times New Roman" w:hAnsi="Times New Roman" w:eastAsia="仿宋_GB2312"/>
          <w:b/>
          <w:bCs/>
          <w:color w:val="auto"/>
          <w:sz w:val="30"/>
          <w:szCs w:val="32"/>
          <w:highlight w:val="none"/>
          <w:shd w:val="clear" w:color="auto" w:fill="FFFFFF"/>
        </w:rPr>
        <w:t>合同条款及格式</w:t>
      </w:r>
      <w:bookmarkEnd w:id="468"/>
      <w:bookmarkEnd w:id="469"/>
      <w:bookmarkEnd w:id="470"/>
      <w:bookmarkEnd w:id="472"/>
    </w:p>
    <w:p w14:paraId="33AC6AF9">
      <w:pPr>
        <w:spacing w:line="360" w:lineRule="auto"/>
        <w:ind w:firstLine="420" w:firstLineChars="200"/>
        <w:jc w:val="center"/>
        <w:rPr>
          <w:rFonts w:ascii="Times New Roman" w:hAnsi="Times New Roman" w:eastAsia="仿宋_GB2312"/>
          <w:color w:val="auto"/>
          <w:szCs w:val="21"/>
          <w:highlight w:val="none"/>
          <w:shd w:val="clear" w:color="auto" w:fill="FFFFFF"/>
          <w:lang w:bidi="ar"/>
        </w:rPr>
      </w:pPr>
      <w:r>
        <w:rPr>
          <w:rFonts w:hint="eastAsia" w:ascii="Times New Roman" w:hAnsi="Times New Roman" w:eastAsia="仿宋_GB2312"/>
          <w:color w:val="auto"/>
          <w:szCs w:val="21"/>
          <w:highlight w:val="none"/>
          <w:shd w:val="clear" w:color="auto" w:fill="FFFFFF"/>
          <w:lang w:bidi="ar"/>
        </w:rPr>
        <w:t>（此合同仅供参考。以最终采购人与中标人签定的合同条款为准，最终签定合同的主要条款不得与招标文件有冲突）</w:t>
      </w:r>
      <w:bookmarkStart w:id="475" w:name="_Toc20075_WPSOffice_Level1"/>
      <w:bookmarkStart w:id="476" w:name="_Toc108777071"/>
      <w:bookmarkStart w:id="477" w:name="_Toc108777134"/>
      <w:bookmarkStart w:id="478" w:name="_Toc108777259"/>
    </w:p>
    <w:bookmarkEnd w:id="473"/>
    <w:bookmarkEnd w:id="474"/>
    <w:bookmarkEnd w:id="475"/>
    <w:p w14:paraId="44699BFF">
      <w:pPr>
        <w:spacing w:line="360" w:lineRule="auto"/>
        <w:jc w:val="center"/>
        <w:rPr>
          <w:rFonts w:ascii="Times New Roman" w:hAnsi="Times New Roman"/>
          <w:b/>
          <w:bCs/>
          <w:color w:val="auto"/>
          <w:sz w:val="24"/>
          <w:szCs w:val="24"/>
          <w:highlight w:val="none"/>
          <w:shd w:val="clear" w:color="auto" w:fill="FFFFFF"/>
        </w:rPr>
      </w:pPr>
      <w:r>
        <w:rPr>
          <w:rFonts w:hint="eastAsia" w:ascii="Times New Roman" w:hAnsi="Times New Roman"/>
          <w:b/>
          <w:bCs/>
          <w:color w:val="auto"/>
          <w:sz w:val="24"/>
          <w:szCs w:val="24"/>
          <w:highlight w:val="none"/>
          <w:shd w:val="clear" w:color="auto" w:fill="FFFFFF"/>
        </w:rPr>
        <w:t>（采购人可根据采购项目的实际情况增减条款和内容）</w:t>
      </w:r>
    </w:p>
    <w:p w14:paraId="75C6E3B8">
      <w:pPr>
        <w:pStyle w:val="18"/>
        <w:spacing w:line="360" w:lineRule="auto"/>
        <w:ind w:firstLine="480"/>
        <w:rPr>
          <w:rFonts w:ascii="Times New Roman" w:hAnsi="Times New Roman" w:eastAsia="宋体"/>
          <w:color w:val="auto"/>
          <w:kern w:val="2"/>
          <w:sz w:val="24"/>
          <w:szCs w:val="24"/>
          <w:highlight w:val="none"/>
        </w:rPr>
      </w:pPr>
      <w:r>
        <w:rPr>
          <w:rFonts w:hint="eastAsia" w:ascii="Times New Roman" w:hAnsi="Times New Roman" w:eastAsia="宋体"/>
          <w:color w:val="auto"/>
          <w:kern w:val="2"/>
          <w:sz w:val="24"/>
          <w:szCs w:val="24"/>
          <w:highlight w:val="none"/>
        </w:rPr>
        <w:t>双方应根据招标文件、中标通知书、中标人的投标文件（包括澄清说明），以及与本项目招标相关的资料、图纸签订采购合同（格式自拟）。所签订的合同不得背离招标文件的实质性内容要求和投标文件的承诺。</w:t>
      </w:r>
    </w:p>
    <w:p w14:paraId="25D2892F">
      <w:pPr>
        <w:spacing w:line="360" w:lineRule="auto"/>
        <w:ind w:firstLine="480"/>
        <w:rPr>
          <w:rFonts w:ascii="Times New Roman" w:hAnsi="Times New Roman"/>
          <w:color w:val="auto"/>
          <w:sz w:val="24"/>
          <w:szCs w:val="24"/>
          <w:highlight w:val="none"/>
        </w:rPr>
      </w:pPr>
      <w:r>
        <w:rPr>
          <w:rFonts w:ascii="Times New Roman" w:hAnsi="Times New Roman"/>
          <w:color w:val="auto"/>
          <w:sz w:val="24"/>
          <w:szCs w:val="24"/>
          <w:highlight w:val="none"/>
        </w:rPr>
        <w:t>甲   方（采购人）：</w:t>
      </w:r>
      <w:r>
        <w:rPr>
          <w:rFonts w:ascii="Times New Roman" w:hAnsi="Times New Roman"/>
          <w:color w:val="auto"/>
          <w:sz w:val="24"/>
          <w:szCs w:val="24"/>
          <w:highlight w:val="none"/>
          <w:u w:val="single"/>
        </w:rPr>
        <w:t xml:space="preserve">                </w:t>
      </w:r>
    </w:p>
    <w:p w14:paraId="14CF1928">
      <w:pPr>
        <w:spacing w:line="360" w:lineRule="auto"/>
        <w:ind w:left="357" w:leftChars="170"/>
        <w:rPr>
          <w:rFonts w:ascii="Times New Roman" w:hAnsi="Times New Roman"/>
          <w:color w:val="auto"/>
          <w:sz w:val="24"/>
          <w:szCs w:val="24"/>
          <w:highlight w:val="none"/>
          <w:u w:val="single"/>
        </w:rPr>
      </w:pPr>
      <w:r>
        <w:rPr>
          <w:rFonts w:ascii="Times New Roman" w:hAnsi="Times New Roman"/>
          <w:color w:val="auto"/>
          <w:sz w:val="24"/>
          <w:szCs w:val="24"/>
          <w:highlight w:val="none"/>
        </w:rPr>
        <w:t>电   话：</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 xml:space="preserve"> 传 真：</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 xml:space="preserve"> 住 所：</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 xml:space="preserve"> 乙   方（中标人）： </w:t>
      </w:r>
      <w:r>
        <w:rPr>
          <w:rFonts w:ascii="Times New Roman" w:hAnsi="Times New Roman"/>
          <w:color w:val="auto"/>
          <w:sz w:val="24"/>
          <w:szCs w:val="24"/>
          <w:highlight w:val="none"/>
          <w:u w:val="single"/>
        </w:rPr>
        <w:t xml:space="preserve">                </w:t>
      </w:r>
    </w:p>
    <w:p w14:paraId="77A2A3F6">
      <w:pPr>
        <w:spacing w:line="360" w:lineRule="auto"/>
        <w:ind w:left="357" w:leftChars="170"/>
        <w:rPr>
          <w:rFonts w:ascii="Times New Roman" w:hAnsi="Times New Roman"/>
          <w:color w:val="auto"/>
          <w:sz w:val="24"/>
          <w:szCs w:val="24"/>
          <w:highlight w:val="none"/>
        </w:rPr>
      </w:pPr>
      <w:r>
        <w:rPr>
          <w:rFonts w:ascii="Times New Roman" w:hAnsi="Times New Roman"/>
          <w:color w:val="auto"/>
          <w:sz w:val="24"/>
          <w:szCs w:val="24"/>
          <w:highlight w:val="none"/>
        </w:rPr>
        <w:t>电   话：</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 xml:space="preserve"> 传 真：</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 xml:space="preserve"> 住 所：</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项目名称：</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 xml:space="preserve">                                  </w:t>
      </w:r>
    </w:p>
    <w:p w14:paraId="45F4F060">
      <w:pPr>
        <w:spacing w:line="360" w:lineRule="auto"/>
        <w:ind w:firstLine="480"/>
        <w:rPr>
          <w:rFonts w:ascii="Times New Roman" w:hAnsi="Times New Roman"/>
          <w:color w:val="auto"/>
          <w:sz w:val="24"/>
          <w:szCs w:val="24"/>
          <w:highlight w:val="none"/>
        </w:rPr>
      </w:pPr>
      <w:r>
        <w:rPr>
          <w:rFonts w:ascii="Times New Roman" w:hAnsi="Times New Roman"/>
          <w:color w:val="auto"/>
          <w:sz w:val="24"/>
          <w:szCs w:val="24"/>
          <w:highlight w:val="none"/>
        </w:rPr>
        <w:t>项目编号：</w:t>
      </w:r>
      <w:r>
        <w:rPr>
          <w:rFonts w:ascii="Times New Roman" w:hAnsi="Times New Roman"/>
          <w:color w:val="auto"/>
          <w:sz w:val="24"/>
          <w:szCs w:val="24"/>
          <w:highlight w:val="none"/>
          <w:u w:val="single"/>
        </w:rPr>
        <w:t xml:space="preserve">                </w:t>
      </w:r>
    </w:p>
    <w:p w14:paraId="50175D29">
      <w:pPr>
        <w:spacing w:line="360" w:lineRule="auto"/>
        <w:ind w:firstLine="480"/>
        <w:rPr>
          <w:rFonts w:ascii="Times New Roman" w:hAnsi="Times New Roman"/>
          <w:color w:val="auto"/>
          <w:sz w:val="24"/>
          <w:szCs w:val="24"/>
          <w:highlight w:val="none"/>
        </w:rPr>
      </w:pPr>
      <w:r>
        <w:rPr>
          <w:rFonts w:ascii="Times New Roman" w:hAnsi="Times New Roman"/>
          <w:color w:val="auto"/>
          <w:sz w:val="24"/>
          <w:szCs w:val="24"/>
          <w:highlight w:val="none"/>
        </w:rPr>
        <w:t>根据 项目名称：</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（项目编号：</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）的采购结果，按照《中华人民共和国政府采购法》及其实施条例、《中华人民共和国民法典》的规定，经双方协商，本着平等互利和诚实信用的原则，一致同意签订本合同如下。</w:t>
      </w:r>
    </w:p>
    <w:p w14:paraId="71D89339">
      <w:pPr>
        <w:spacing w:line="360" w:lineRule="auto"/>
        <w:ind w:firstLine="482"/>
        <w:rPr>
          <w:rFonts w:ascii="Times New Roman" w:hAnsi="Times New Roman"/>
          <w:b/>
          <w:color w:val="auto"/>
          <w:sz w:val="24"/>
          <w:szCs w:val="24"/>
          <w:highlight w:val="none"/>
        </w:rPr>
      </w:pPr>
      <w:r>
        <w:rPr>
          <w:rFonts w:ascii="Times New Roman" w:hAnsi="Times New Roman"/>
          <w:b/>
          <w:color w:val="auto"/>
          <w:sz w:val="24"/>
          <w:szCs w:val="24"/>
          <w:highlight w:val="none"/>
        </w:rPr>
        <w:t>一、采购标的</w:t>
      </w:r>
    </w:p>
    <w:tbl>
      <w:tblPr>
        <w:tblStyle w:val="12"/>
        <w:tblW w:w="0" w:type="auto"/>
        <w:tblInd w:w="113"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552"/>
        <w:gridCol w:w="1154"/>
        <w:gridCol w:w="3500"/>
        <w:gridCol w:w="1198"/>
        <w:gridCol w:w="1137"/>
        <w:gridCol w:w="962"/>
      </w:tblGrid>
      <w:tr w14:paraId="47B981D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565" w:type="dxa"/>
            <w:tcBorders>
              <w:top w:val="single" w:color="000000" w:sz="4" w:space="0"/>
              <w:left w:val="single" w:color="000000" w:sz="4" w:space="0"/>
              <w:bottom w:val="single" w:color="000000" w:sz="4" w:space="0"/>
              <w:right w:val="single" w:color="000000" w:sz="4" w:space="0"/>
            </w:tcBorders>
            <w:vAlign w:val="center"/>
          </w:tcPr>
          <w:p w14:paraId="4EDDDE46">
            <w:pPr>
              <w:spacing w:line="360" w:lineRule="auto"/>
              <w:jc w:val="center"/>
              <w:rPr>
                <w:rFonts w:ascii="Times New Roman" w:hAnsi="Times New Roman"/>
                <w:color w:val="auto"/>
                <w:sz w:val="24"/>
                <w:szCs w:val="24"/>
                <w:highlight w:val="none"/>
              </w:rPr>
            </w:pPr>
            <w:r>
              <w:rPr>
                <w:rFonts w:ascii="Times New Roman" w:hAnsi="Times New Roman"/>
                <w:color w:val="auto"/>
                <w:sz w:val="24"/>
                <w:szCs w:val="24"/>
                <w:highlight w:val="none"/>
              </w:rPr>
              <w:t>序号</w:t>
            </w:r>
          </w:p>
        </w:tc>
        <w:tc>
          <w:tcPr>
            <w:tcW w:w="1247" w:type="dxa"/>
            <w:tcBorders>
              <w:top w:val="single" w:color="000000" w:sz="4" w:space="0"/>
              <w:bottom w:val="single" w:color="000000" w:sz="4" w:space="0"/>
              <w:right w:val="single" w:color="000000" w:sz="4" w:space="0"/>
            </w:tcBorders>
            <w:vAlign w:val="center"/>
          </w:tcPr>
          <w:p w14:paraId="4FBC5566">
            <w:pPr>
              <w:spacing w:line="360" w:lineRule="auto"/>
              <w:jc w:val="center"/>
              <w:rPr>
                <w:rFonts w:ascii="Times New Roman" w:hAnsi="Times New Roman"/>
                <w:color w:val="auto"/>
                <w:sz w:val="24"/>
                <w:szCs w:val="24"/>
                <w:highlight w:val="none"/>
              </w:rPr>
            </w:pPr>
            <w:r>
              <w:rPr>
                <w:rFonts w:ascii="Times New Roman" w:hAnsi="Times New Roman"/>
                <w:color w:val="auto"/>
                <w:sz w:val="24"/>
                <w:szCs w:val="24"/>
                <w:highlight w:val="none"/>
              </w:rPr>
              <w:t>商品名称</w:t>
            </w:r>
          </w:p>
        </w:tc>
        <w:tc>
          <w:tcPr>
            <w:tcW w:w="3876" w:type="dxa"/>
            <w:tcBorders>
              <w:top w:val="single" w:color="000000" w:sz="4" w:space="0"/>
              <w:bottom w:val="single" w:color="000000" w:sz="4" w:space="0"/>
              <w:right w:val="single" w:color="000000" w:sz="4" w:space="0"/>
            </w:tcBorders>
            <w:vAlign w:val="center"/>
          </w:tcPr>
          <w:p w14:paraId="7C9A7BB0">
            <w:pPr>
              <w:spacing w:line="360" w:lineRule="auto"/>
              <w:jc w:val="center"/>
              <w:rPr>
                <w:rFonts w:ascii="Times New Roman" w:hAnsi="Times New Roman"/>
                <w:color w:val="auto"/>
                <w:sz w:val="24"/>
                <w:szCs w:val="24"/>
                <w:highlight w:val="none"/>
              </w:rPr>
            </w:pPr>
            <w:r>
              <w:rPr>
                <w:rFonts w:ascii="Times New Roman" w:hAnsi="Times New Roman"/>
                <w:color w:val="auto"/>
                <w:sz w:val="24"/>
                <w:szCs w:val="24"/>
                <w:highlight w:val="none"/>
              </w:rPr>
              <w:t>品牌、规格型号、配置（性能参数）</w:t>
            </w:r>
          </w:p>
        </w:tc>
        <w:tc>
          <w:tcPr>
            <w:tcW w:w="1297" w:type="dxa"/>
            <w:tcBorders>
              <w:top w:val="single" w:color="000000" w:sz="4" w:space="0"/>
              <w:bottom w:val="single" w:color="000000" w:sz="4" w:space="0"/>
              <w:right w:val="single" w:color="000000" w:sz="4" w:space="0"/>
            </w:tcBorders>
            <w:vAlign w:val="center"/>
          </w:tcPr>
          <w:p w14:paraId="28744CD9">
            <w:pPr>
              <w:spacing w:line="360" w:lineRule="auto"/>
              <w:jc w:val="center"/>
              <w:rPr>
                <w:rFonts w:ascii="Times New Roman" w:hAnsi="Times New Roman"/>
                <w:color w:val="auto"/>
                <w:sz w:val="24"/>
                <w:szCs w:val="24"/>
                <w:highlight w:val="none"/>
              </w:rPr>
            </w:pPr>
            <w:r>
              <w:rPr>
                <w:rFonts w:ascii="Times New Roman" w:hAnsi="Times New Roman"/>
                <w:color w:val="auto"/>
                <w:sz w:val="24"/>
                <w:szCs w:val="24"/>
                <w:highlight w:val="none"/>
              </w:rPr>
              <w:t>数量</w:t>
            </w:r>
          </w:p>
        </w:tc>
        <w:tc>
          <w:tcPr>
            <w:tcW w:w="1164" w:type="dxa"/>
            <w:tcBorders>
              <w:top w:val="single" w:color="000000" w:sz="4" w:space="0"/>
              <w:bottom w:val="single" w:color="000000" w:sz="4" w:space="0"/>
              <w:right w:val="single" w:color="000000" w:sz="4" w:space="0"/>
            </w:tcBorders>
            <w:vAlign w:val="center"/>
          </w:tcPr>
          <w:p w14:paraId="6FEB1C0C">
            <w:pPr>
              <w:spacing w:line="360" w:lineRule="auto"/>
              <w:jc w:val="center"/>
              <w:rPr>
                <w:rFonts w:ascii="Times New Roman" w:hAnsi="Times New Roman"/>
                <w:color w:val="auto"/>
                <w:sz w:val="24"/>
                <w:szCs w:val="24"/>
                <w:highlight w:val="none"/>
              </w:rPr>
            </w:pPr>
            <w:r>
              <w:rPr>
                <w:rFonts w:ascii="Times New Roman" w:hAnsi="Times New Roman"/>
                <w:color w:val="auto"/>
                <w:sz w:val="24"/>
                <w:szCs w:val="24"/>
                <w:highlight w:val="none"/>
              </w:rPr>
              <w:t>单价（元）</w:t>
            </w:r>
          </w:p>
        </w:tc>
        <w:tc>
          <w:tcPr>
            <w:tcW w:w="964" w:type="dxa"/>
            <w:tcBorders>
              <w:top w:val="single" w:color="000000" w:sz="4" w:space="0"/>
              <w:bottom w:val="single" w:color="000000" w:sz="4" w:space="0"/>
              <w:right w:val="single" w:color="000000" w:sz="4" w:space="0"/>
            </w:tcBorders>
            <w:vAlign w:val="center"/>
          </w:tcPr>
          <w:p w14:paraId="7274796D">
            <w:pPr>
              <w:spacing w:line="360" w:lineRule="auto"/>
              <w:jc w:val="center"/>
              <w:rPr>
                <w:rFonts w:ascii="Times New Roman" w:hAnsi="Times New Roman"/>
                <w:color w:val="auto"/>
                <w:sz w:val="24"/>
                <w:szCs w:val="24"/>
                <w:highlight w:val="none"/>
              </w:rPr>
            </w:pPr>
            <w:r>
              <w:rPr>
                <w:rFonts w:ascii="Times New Roman" w:hAnsi="Times New Roman"/>
                <w:color w:val="auto"/>
                <w:sz w:val="24"/>
                <w:szCs w:val="24"/>
                <w:highlight w:val="none"/>
              </w:rPr>
              <w:t>金额（元）</w:t>
            </w:r>
          </w:p>
        </w:tc>
      </w:tr>
      <w:tr w14:paraId="0F08144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565" w:type="dxa"/>
            <w:tcBorders>
              <w:left w:val="single" w:color="000000" w:sz="4" w:space="0"/>
              <w:bottom w:val="single" w:color="000000" w:sz="4" w:space="0"/>
              <w:right w:val="single" w:color="000000" w:sz="4" w:space="0"/>
            </w:tcBorders>
            <w:vAlign w:val="center"/>
          </w:tcPr>
          <w:p w14:paraId="720E2F60">
            <w:pPr>
              <w:spacing w:line="360" w:lineRule="auto"/>
              <w:jc w:val="center"/>
              <w:rPr>
                <w:rFonts w:ascii="Times New Roman" w:hAnsi="Times New Roman"/>
                <w:color w:val="auto"/>
                <w:sz w:val="24"/>
                <w:szCs w:val="24"/>
                <w:highlight w:val="none"/>
              </w:rPr>
            </w:pPr>
            <w:r>
              <w:rPr>
                <w:rFonts w:ascii="Times New Roman" w:hAnsi="Times New Roman"/>
                <w:color w:val="auto"/>
                <w:sz w:val="24"/>
                <w:szCs w:val="24"/>
                <w:highlight w:val="none"/>
              </w:rPr>
              <w:t>1</w:t>
            </w:r>
          </w:p>
        </w:tc>
        <w:tc>
          <w:tcPr>
            <w:tcW w:w="1247" w:type="dxa"/>
            <w:tcBorders>
              <w:bottom w:val="single" w:color="000000" w:sz="4" w:space="0"/>
              <w:right w:val="single" w:color="000000" w:sz="4" w:space="0"/>
            </w:tcBorders>
          </w:tcPr>
          <w:p w14:paraId="6A8501E9">
            <w:pPr>
              <w:spacing w:line="360" w:lineRule="auto"/>
              <w:ind w:firstLine="480"/>
              <w:rPr>
                <w:rFonts w:ascii="Times New Roman" w:hAnsi="Times New Roman"/>
                <w:color w:val="auto"/>
                <w:sz w:val="24"/>
                <w:szCs w:val="24"/>
                <w:highlight w:val="none"/>
              </w:rPr>
            </w:pPr>
          </w:p>
        </w:tc>
        <w:tc>
          <w:tcPr>
            <w:tcW w:w="3876" w:type="dxa"/>
            <w:tcBorders>
              <w:bottom w:val="single" w:color="000000" w:sz="4" w:space="0"/>
              <w:right w:val="single" w:color="000000" w:sz="4" w:space="0"/>
            </w:tcBorders>
          </w:tcPr>
          <w:p w14:paraId="665B7CAC">
            <w:pPr>
              <w:spacing w:line="360" w:lineRule="auto"/>
              <w:ind w:firstLine="480"/>
              <w:rPr>
                <w:rFonts w:ascii="Times New Roman" w:hAnsi="Times New Roman"/>
                <w:color w:val="auto"/>
                <w:sz w:val="24"/>
                <w:szCs w:val="24"/>
                <w:highlight w:val="none"/>
              </w:rPr>
            </w:pPr>
          </w:p>
        </w:tc>
        <w:tc>
          <w:tcPr>
            <w:tcW w:w="1297" w:type="dxa"/>
            <w:tcBorders>
              <w:bottom w:val="single" w:color="000000" w:sz="4" w:space="0"/>
              <w:right w:val="single" w:color="000000" w:sz="4" w:space="0"/>
            </w:tcBorders>
          </w:tcPr>
          <w:p w14:paraId="0AB124D3">
            <w:pPr>
              <w:spacing w:line="360" w:lineRule="auto"/>
              <w:ind w:firstLine="480"/>
              <w:rPr>
                <w:rFonts w:ascii="Times New Roman" w:hAnsi="Times New Roman"/>
                <w:color w:val="auto"/>
                <w:sz w:val="24"/>
                <w:szCs w:val="24"/>
                <w:highlight w:val="none"/>
              </w:rPr>
            </w:pPr>
          </w:p>
        </w:tc>
        <w:tc>
          <w:tcPr>
            <w:tcW w:w="1164" w:type="dxa"/>
            <w:tcBorders>
              <w:bottom w:val="single" w:color="000000" w:sz="4" w:space="0"/>
              <w:right w:val="single" w:color="000000" w:sz="4" w:space="0"/>
            </w:tcBorders>
          </w:tcPr>
          <w:p w14:paraId="1642CA8D">
            <w:pPr>
              <w:spacing w:line="360" w:lineRule="auto"/>
              <w:ind w:firstLine="480"/>
              <w:rPr>
                <w:rFonts w:ascii="Times New Roman" w:hAnsi="Times New Roman"/>
                <w:color w:val="auto"/>
                <w:sz w:val="24"/>
                <w:szCs w:val="24"/>
                <w:highlight w:val="none"/>
              </w:rPr>
            </w:pPr>
          </w:p>
        </w:tc>
        <w:tc>
          <w:tcPr>
            <w:tcW w:w="964" w:type="dxa"/>
            <w:tcBorders>
              <w:bottom w:val="single" w:color="000000" w:sz="4" w:space="0"/>
              <w:right w:val="single" w:color="000000" w:sz="4" w:space="0"/>
            </w:tcBorders>
          </w:tcPr>
          <w:p w14:paraId="76E23DC2">
            <w:pPr>
              <w:spacing w:line="360" w:lineRule="auto"/>
              <w:ind w:firstLine="480"/>
              <w:rPr>
                <w:rFonts w:ascii="Times New Roman" w:hAnsi="Times New Roman"/>
                <w:color w:val="auto"/>
                <w:sz w:val="24"/>
                <w:szCs w:val="24"/>
                <w:highlight w:val="none"/>
              </w:rPr>
            </w:pPr>
          </w:p>
        </w:tc>
      </w:tr>
      <w:tr w14:paraId="61873C3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565" w:type="dxa"/>
            <w:tcBorders>
              <w:left w:val="single" w:color="000000" w:sz="4" w:space="0"/>
              <w:bottom w:val="single" w:color="000000" w:sz="4" w:space="0"/>
              <w:right w:val="single" w:color="000000" w:sz="4" w:space="0"/>
            </w:tcBorders>
            <w:vAlign w:val="center"/>
          </w:tcPr>
          <w:p w14:paraId="6897D8DD">
            <w:pPr>
              <w:spacing w:line="360" w:lineRule="auto"/>
              <w:jc w:val="center"/>
              <w:rPr>
                <w:rFonts w:ascii="Times New Roman" w:hAnsi="Times New Roman"/>
                <w:color w:val="auto"/>
                <w:sz w:val="24"/>
                <w:szCs w:val="24"/>
                <w:highlight w:val="none"/>
              </w:rPr>
            </w:pPr>
            <w:r>
              <w:rPr>
                <w:rFonts w:ascii="Times New Roman" w:hAnsi="Times New Roman"/>
                <w:color w:val="auto"/>
                <w:sz w:val="24"/>
                <w:szCs w:val="24"/>
                <w:highlight w:val="none"/>
              </w:rPr>
              <w:t>2</w:t>
            </w:r>
          </w:p>
        </w:tc>
        <w:tc>
          <w:tcPr>
            <w:tcW w:w="1247" w:type="dxa"/>
            <w:tcBorders>
              <w:bottom w:val="single" w:color="000000" w:sz="4" w:space="0"/>
              <w:right w:val="single" w:color="000000" w:sz="4" w:space="0"/>
            </w:tcBorders>
          </w:tcPr>
          <w:p w14:paraId="47944DDD">
            <w:pPr>
              <w:spacing w:line="360" w:lineRule="auto"/>
              <w:ind w:firstLine="480"/>
              <w:rPr>
                <w:rFonts w:ascii="Times New Roman" w:hAnsi="Times New Roman"/>
                <w:color w:val="auto"/>
                <w:sz w:val="24"/>
                <w:szCs w:val="24"/>
                <w:highlight w:val="none"/>
              </w:rPr>
            </w:pPr>
          </w:p>
        </w:tc>
        <w:tc>
          <w:tcPr>
            <w:tcW w:w="3876" w:type="dxa"/>
            <w:tcBorders>
              <w:bottom w:val="single" w:color="000000" w:sz="4" w:space="0"/>
              <w:right w:val="single" w:color="000000" w:sz="4" w:space="0"/>
            </w:tcBorders>
          </w:tcPr>
          <w:p w14:paraId="516D8F60">
            <w:pPr>
              <w:spacing w:line="360" w:lineRule="auto"/>
              <w:ind w:firstLine="480"/>
              <w:rPr>
                <w:rFonts w:ascii="Times New Roman" w:hAnsi="Times New Roman"/>
                <w:color w:val="auto"/>
                <w:sz w:val="24"/>
                <w:szCs w:val="24"/>
                <w:highlight w:val="none"/>
              </w:rPr>
            </w:pPr>
          </w:p>
        </w:tc>
        <w:tc>
          <w:tcPr>
            <w:tcW w:w="1297" w:type="dxa"/>
            <w:tcBorders>
              <w:bottom w:val="single" w:color="000000" w:sz="4" w:space="0"/>
              <w:right w:val="single" w:color="000000" w:sz="4" w:space="0"/>
            </w:tcBorders>
          </w:tcPr>
          <w:p w14:paraId="05D09564">
            <w:pPr>
              <w:spacing w:line="360" w:lineRule="auto"/>
              <w:ind w:firstLine="480"/>
              <w:rPr>
                <w:rFonts w:ascii="Times New Roman" w:hAnsi="Times New Roman"/>
                <w:color w:val="auto"/>
                <w:sz w:val="24"/>
                <w:szCs w:val="24"/>
                <w:highlight w:val="none"/>
              </w:rPr>
            </w:pPr>
          </w:p>
        </w:tc>
        <w:tc>
          <w:tcPr>
            <w:tcW w:w="1164" w:type="dxa"/>
            <w:tcBorders>
              <w:bottom w:val="single" w:color="000000" w:sz="4" w:space="0"/>
              <w:right w:val="single" w:color="000000" w:sz="4" w:space="0"/>
            </w:tcBorders>
          </w:tcPr>
          <w:p w14:paraId="0C14376B">
            <w:pPr>
              <w:spacing w:line="360" w:lineRule="auto"/>
              <w:ind w:firstLine="480"/>
              <w:rPr>
                <w:rFonts w:ascii="Times New Roman" w:hAnsi="Times New Roman"/>
                <w:color w:val="auto"/>
                <w:sz w:val="24"/>
                <w:szCs w:val="24"/>
                <w:highlight w:val="none"/>
              </w:rPr>
            </w:pPr>
          </w:p>
        </w:tc>
        <w:tc>
          <w:tcPr>
            <w:tcW w:w="964" w:type="dxa"/>
            <w:tcBorders>
              <w:bottom w:val="single" w:color="000000" w:sz="4" w:space="0"/>
              <w:right w:val="single" w:color="000000" w:sz="4" w:space="0"/>
            </w:tcBorders>
          </w:tcPr>
          <w:p w14:paraId="4039FBB3">
            <w:pPr>
              <w:spacing w:line="360" w:lineRule="auto"/>
              <w:ind w:firstLine="480"/>
              <w:rPr>
                <w:rFonts w:ascii="Times New Roman" w:hAnsi="Times New Roman"/>
                <w:color w:val="auto"/>
                <w:sz w:val="24"/>
                <w:szCs w:val="24"/>
                <w:highlight w:val="none"/>
              </w:rPr>
            </w:pPr>
          </w:p>
        </w:tc>
      </w:tr>
      <w:tr w14:paraId="128B470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565" w:type="dxa"/>
            <w:tcBorders>
              <w:left w:val="single" w:color="000000" w:sz="4" w:space="0"/>
              <w:bottom w:val="single" w:color="000000" w:sz="4" w:space="0"/>
              <w:right w:val="single" w:color="000000" w:sz="4" w:space="0"/>
            </w:tcBorders>
            <w:vAlign w:val="center"/>
          </w:tcPr>
          <w:p w14:paraId="2E2971B1">
            <w:pPr>
              <w:spacing w:line="360" w:lineRule="auto"/>
              <w:jc w:val="center"/>
              <w:rPr>
                <w:rFonts w:ascii="Times New Roman" w:hAnsi="Times New Roman"/>
                <w:color w:val="auto"/>
                <w:sz w:val="24"/>
                <w:szCs w:val="24"/>
                <w:highlight w:val="none"/>
              </w:rPr>
            </w:pPr>
            <w:r>
              <w:rPr>
                <w:rFonts w:ascii="Times New Roman" w:hAnsi="Times New Roman"/>
                <w:color w:val="auto"/>
                <w:sz w:val="24"/>
                <w:szCs w:val="24"/>
                <w:highlight w:val="none"/>
              </w:rPr>
              <w:t>3</w:t>
            </w:r>
          </w:p>
        </w:tc>
        <w:tc>
          <w:tcPr>
            <w:tcW w:w="1247" w:type="dxa"/>
            <w:tcBorders>
              <w:bottom w:val="single" w:color="000000" w:sz="4" w:space="0"/>
              <w:right w:val="single" w:color="000000" w:sz="4" w:space="0"/>
            </w:tcBorders>
          </w:tcPr>
          <w:p w14:paraId="7739A228">
            <w:pPr>
              <w:spacing w:line="360" w:lineRule="auto"/>
              <w:ind w:firstLine="480"/>
              <w:rPr>
                <w:rFonts w:ascii="Times New Roman" w:hAnsi="Times New Roman"/>
                <w:color w:val="auto"/>
                <w:sz w:val="24"/>
                <w:szCs w:val="24"/>
                <w:highlight w:val="none"/>
              </w:rPr>
            </w:pPr>
          </w:p>
        </w:tc>
        <w:tc>
          <w:tcPr>
            <w:tcW w:w="3876" w:type="dxa"/>
            <w:tcBorders>
              <w:bottom w:val="single" w:color="000000" w:sz="4" w:space="0"/>
              <w:right w:val="single" w:color="000000" w:sz="4" w:space="0"/>
            </w:tcBorders>
          </w:tcPr>
          <w:p w14:paraId="00838381">
            <w:pPr>
              <w:spacing w:line="360" w:lineRule="auto"/>
              <w:ind w:firstLine="480"/>
              <w:rPr>
                <w:rFonts w:ascii="Times New Roman" w:hAnsi="Times New Roman"/>
                <w:color w:val="auto"/>
                <w:sz w:val="24"/>
                <w:szCs w:val="24"/>
                <w:highlight w:val="none"/>
              </w:rPr>
            </w:pPr>
          </w:p>
        </w:tc>
        <w:tc>
          <w:tcPr>
            <w:tcW w:w="1297" w:type="dxa"/>
            <w:tcBorders>
              <w:bottom w:val="single" w:color="000000" w:sz="4" w:space="0"/>
              <w:right w:val="single" w:color="000000" w:sz="4" w:space="0"/>
            </w:tcBorders>
          </w:tcPr>
          <w:p w14:paraId="6BBE6F35">
            <w:pPr>
              <w:spacing w:line="360" w:lineRule="auto"/>
              <w:ind w:firstLine="480"/>
              <w:rPr>
                <w:rFonts w:ascii="Times New Roman" w:hAnsi="Times New Roman"/>
                <w:color w:val="auto"/>
                <w:sz w:val="24"/>
                <w:szCs w:val="24"/>
                <w:highlight w:val="none"/>
              </w:rPr>
            </w:pPr>
          </w:p>
        </w:tc>
        <w:tc>
          <w:tcPr>
            <w:tcW w:w="1164" w:type="dxa"/>
            <w:tcBorders>
              <w:bottom w:val="single" w:color="000000" w:sz="4" w:space="0"/>
              <w:right w:val="single" w:color="000000" w:sz="4" w:space="0"/>
            </w:tcBorders>
          </w:tcPr>
          <w:p w14:paraId="66D27B36">
            <w:pPr>
              <w:spacing w:line="360" w:lineRule="auto"/>
              <w:ind w:firstLine="480"/>
              <w:rPr>
                <w:rFonts w:ascii="Times New Roman" w:hAnsi="Times New Roman"/>
                <w:color w:val="auto"/>
                <w:sz w:val="24"/>
                <w:szCs w:val="24"/>
                <w:highlight w:val="none"/>
              </w:rPr>
            </w:pPr>
          </w:p>
        </w:tc>
        <w:tc>
          <w:tcPr>
            <w:tcW w:w="964" w:type="dxa"/>
            <w:tcBorders>
              <w:bottom w:val="single" w:color="000000" w:sz="4" w:space="0"/>
              <w:right w:val="single" w:color="000000" w:sz="4" w:space="0"/>
            </w:tcBorders>
          </w:tcPr>
          <w:p w14:paraId="39071EBF">
            <w:pPr>
              <w:spacing w:line="360" w:lineRule="auto"/>
              <w:ind w:firstLine="480"/>
              <w:rPr>
                <w:rFonts w:ascii="Times New Roman" w:hAnsi="Times New Roman"/>
                <w:color w:val="auto"/>
                <w:sz w:val="24"/>
                <w:szCs w:val="24"/>
                <w:highlight w:val="none"/>
              </w:rPr>
            </w:pPr>
          </w:p>
        </w:tc>
      </w:tr>
      <w:tr w14:paraId="598761C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565" w:type="dxa"/>
            <w:tcBorders>
              <w:left w:val="single" w:color="000000" w:sz="4" w:space="0"/>
              <w:bottom w:val="single" w:color="000000" w:sz="4" w:space="0"/>
              <w:right w:val="single" w:color="000000" w:sz="4" w:space="0"/>
            </w:tcBorders>
            <w:vAlign w:val="center"/>
          </w:tcPr>
          <w:p w14:paraId="08F6146B">
            <w:pPr>
              <w:spacing w:line="360" w:lineRule="auto"/>
              <w:jc w:val="center"/>
              <w:rPr>
                <w:rFonts w:ascii="Times New Roman" w:hAnsi="Times New Roman"/>
                <w:color w:val="auto"/>
                <w:sz w:val="24"/>
                <w:szCs w:val="24"/>
                <w:highlight w:val="none"/>
              </w:rPr>
            </w:pPr>
            <w:r>
              <w:rPr>
                <w:rFonts w:ascii="Times New Roman" w:hAnsi="Times New Roman"/>
                <w:color w:val="auto"/>
                <w:sz w:val="24"/>
                <w:szCs w:val="24"/>
                <w:highlight w:val="none"/>
              </w:rPr>
              <w:t>...</w:t>
            </w:r>
          </w:p>
        </w:tc>
        <w:tc>
          <w:tcPr>
            <w:tcW w:w="1247" w:type="dxa"/>
            <w:tcBorders>
              <w:bottom w:val="single" w:color="000000" w:sz="4" w:space="0"/>
              <w:right w:val="single" w:color="000000" w:sz="4" w:space="0"/>
            </w:tcBorders>
          </w:tcPr>
          <w:p w14:paraId="05DAEF2B">
            <w:pPr>
              <w:spacing w:line="360" w:lineRule="auto"/>
              <w:ind w:firstLine="480"/>
              <w:rPr>
                <w:rFonts w:ascii="Times New Roman" w:hAnsi="Times New Roman"/>
                <w:color w:val="auto"/>
                <w:sz w:val="24"/>
                <w:szCs w:val="24"/>
                <w:highlight w:val="none"/>
              </w:rPr>
            </w:pPr>
          </w:p>
        </w:tc>
        <w:tc>
          <w:tcPr>
            <w:tcW w:w="3876" w:type="dxa"/>
            <w:tcBorders>
              <w:bottom w:val="single" w:color="000000" w:sz="4" w:space="0"/>
              <w:right w:val="single" w:color="000000" w:sz="4" w:space="0"/>
            </w:tcBorders>
          </w:tcPr>
          <w:p w14:paraId="20FFB1DD">
            <w:pPr>
              <w:spacing w:line="360" w:lineRule="auto"/>
              <w:ind w:firstLine="480"/>
              <w:rPr>
                <w:rFonts w:ascii="Times New Roman" w:hAnsi="Times New Roman"/>
                <w:color w:val="auto"/>
                <w:sz w:val="24"/>
                <w:szCs w:val="24"/>
                <w:highlight w:val="none"/>
              </w:rPr>
            </w:pPr>
          </w:p>
        </w:tc>
        <w:tc>
          <w:tcPr>
            <w:tcW w:w="1297" w:type="dxa"/>
            <w:tcBorders>
              <w:bottom w:val="single" w:color="000000" w:sz="4" w:space="0"/>
              <w:right w:val="single" w:color="000000" w:sz="4" w:space="0"/>
            </w:tcBorders>
          </w:tcPr>
          <w:p w14:paraId="38377A68">
            <w:pPr>
              <w:spacing w:line="360" w:lineRule="auto"/>
              <w:ind w:firstLine="480"/>
              <w:rPr>
                <w:rFonts w:ascii="Times New Roman" w:hAnsi="Times New Roman"/>
                <w:color w:val="auto"/>
                <w:sz w:val="24"/>
                <w:szCs w:val="24"/>
                <w:highlight w:val="none"/>
              </w:rPr>
            </w:pPr>
          </w:p>
        </w:tc>
        <w:tc>
          <w:tcPr>
            <w:tcW w:w="1164" w:type="dxa"/>
            <w:tcBorders>
              <w:bottom w:val="single" w:color="000000" w:sz="4" w:space="0"/>
              <w:right w:val="single" w:color="000000" w:sz="4" w:space="0"/>
            </w:tcBorders>
          </w:tcPr>
          <w:p w14:paraId="3E95D3FF">
            <w:pPr>
              <w:spacing w:line="360" w:lineRule="auto"/>
              <w:ind w:firstLine="480"/>
              <w:rPr>
                <w:rFonts w:ascii="Times New Roman" w:hAnsi="Times New Roman"/>
                <w:color w:val="auto"/>
                <w:sz w:val="24"/>
                <w:szCs w:val="24"/>
                <w:highlight w:val="none"/>
              </w:rPr>
            </w:pPr>
          </w:p>
        </w:tc>
        <w:tc>
          <w:tcPr>
            <w:tcW w:w="964" w:type="dxa"/>
            <w:tcBorders>
              <w:bottom w:val="single" w:color="000000" w:sz="4" w:space="0"/>
              <w:right w:val="single" w:color="000000" w:sz="4" w:space="0"/>
            </w:tcBorders>
          </w:tcPr>
          <w:p w14:paraId="72AA892C">
            <w:pPr>
              <w:spacing w:line="360" w:lineRule="auto"/>
              <w:ind w:firstLine="480"/>
              <w:rPr>
                <w:rFonts w:ascii="Times New Roman" w:hAnsi="Times New Roman"/>
                <w:color w:val="auto"/>
                <w:sz w:val="24"/>
                <w:szCs w:val="24"/>
                <w:highlight w:val="none"/>
              </w:rPr>
            </w:pPr>
          </w:p>
        </w:tc>
      </w:tr>
      <w:tr w14:paraId="5697C79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9115" w:type="dxa"/>
            <w:gridSpan w:val="6"/>
            <w:tcBorders>
              <w:left w:val="single" w:color="000000" w:sz="4" w:space="0"/>
              <w:bottom w:val="single" w:color="000000" w:sz="4" w:space="0"/>
              <w:right w:val="single" w:color="000000" w:sz="4" w:space="0"/>
            </w:tcBorders>
          </w:tcPr>
          <w:p w14:paraId="5228A4FA">
            <w:pPr>
              <w:spacing w:line="360" w:lineRule="auto"/>
              <w:ind w:firstLine="480"/>
              <w:rPr>
                <w:rFonts w:ascii="Times New Roman" w:hAnsi="Times New Roman"/>
                <w:color w:val="auto"/>
                <w:sz w:val="24"/>
                <w:szCs w:val="24"/>
                <w:highlight w:val="none"/>
              </w:rPr>
            </w:pPr>
            <w:r>
              <w:rPr>
                <w:rFonts w:ascii="Times New Roman" w:hAnsi="Times New Roman"/>
                <w:color w:val="auto"/>
                <w:sz w:val="24"/>
                <w:szCs w:val="24"/>
                <w:highlight w:val="none"/>
              </w:rPr>
              <w:t xml:space="preserve">  合计总额：￥元；  大写：</w:t>
            </w:r>
          </w:p>
        </w:tc>
      </w:tr>
    </w:tbl>
    <w:p w14:paraId="412E7029">
      <w:pPr>
        <w:spacing w:line="360" w:lineRule="auto"/>
        <w:ind w:firstLine="480"/>
        <w:rPr>
          <w:rFonts w:ascii="Times New Roman" w:hAnsi="Times New Roman"/>
          <w:color w:val="auto"/>
          <w:sz w:val="24"/>
          <w:szCs w:val="24"/>
          <w:highlight w:val="none"/>
        </w:rPr>
      </w:pPr>
      <w:r>
        <w:rPr>
          <w:rFonts w:ascii="Times New Roman" w:hAnsi="Times New Roman"/>
          <w:color w:val="auto"/>
          <w:sz w:val="24"/>
          <w:szCs w:val="24"/>
          <w:highlight w:val="none"/>
        </w:rPr>
        <w:t>合同总额包括乙方设备、软件、安装、调试、培训、质保期服务、产品专家检测费用、各项税费等。</w:t>
      </w:r>
    </w:p>
    <w:p w14:paraId="401311AB">
      <w:pPr>
        <w:spacing w:line="360" w:lineRule="auto"/>
        <w:ind w:firstLine="482"/>
        <w:rPr>
          <w:rFonts w:ascii="Times New Roman" w:hAnsi="Times New Roman"/>
          <w:b/>
          <w:color w:val="auto"/>
          <w:sz w:val="24"/>
          <w:szCs w:val="24"/>
          <w:highlight w:val="none"/>
        </w:rPr>
      </w:pPr>
      <w:r>
        <w:rPr>
          <w:rFonts w:ascii="Times New Roman" w:hAnsi="Times New Roman"/>
          <w:b/>
          <w:color w:val="auto"/>
          <w:sz w:val="24"/>
          <w:szCs w:val="24"/>
          <w:highlight w:val="none"/>
        </w:rPr>
        <w:t>二、合同金额</w:t>
      </w:r>
    </w:p>
    <w:p w14:paraId="1BAAA1C8">
      <w:pPr>
        <w:spacing w:line="360" w:lineRule="auto"/>
        <w:ind w:firstLine="480"/>
        <w:rPr>
          <w:rFonts w:ascii="Times New Roman" w:hAnsi="Times New Roman"/>
          <w:color w:val="auto"/>
          <w:sz w:val="24"/>
          <w:szCs w:val="24"/>
          <w:highlight w:val="none"/>
        </w:rPr>
      </w:pPr>
      <w:r>
        <w:rPr>
          <w:rFonts w:ascii="Times New Roman" w:hAnsi="Times New Roman"/>
          <w:color w:val="auto"/>
          <w:sz w:val="24"/>
          <w:szCs w:val="24"/>
          <w:highlight w:val="none"/>
        </w:rPr>
        <w:t>合同金额为（大写）：_________________元（￥_______________元）人民币。</w:t>
      </w:r>
    </w:p>
    <w:p w14:paraId="4A3346D6">
      <w:pPr>
        <w:spacing w:line="360" w:lineRule="auto"/>
        <w:ind w:firstLine="482"/>
        <w:rPr>
          <w:rFonts w:ascii="Times New Roman" w:hAnsi="Times New Roman"/>
          <w:b/>
          <w:color w:val="auto"/>
          <w:sz w:val="24"/>
          <w:szCs w:val="24"/>
          <w:highlight w:val="none"/>
        </w:rPr>
      </w:pPr>
      <w:r>
        <w:rPr>
          <w:rFonts w:ascii="Times New Roman" w:hAnsi="Times New Roman"/>
          <w:b/>
          <w:color w:val="auto"/>
          <w:sz w:val="24"/>
          <w:szCs w:val="24"/>
          <w:highlight w:val="none"/>
        </w:rPr>
        <w:t>三、设备要求</w:t>
      </w:r>
    </w:p>
    <w:p w14:paraId="624C4474">
      <w:pPr>
        <w:spacing w:line="360" w:lineRule="auto"/>
        <w:ind w:firstLine="480"/>
        <w:rPr>
          <w:rFonts w:ascii="Times New Roman" w:hAnsi="Times New Roman"/>
          <w:color w:val="auto"/>
          <w:sz w:val="24"/>
          <w:szCs w:val="24"/>
          <w:highlight w:val="none"/>
        </w:rPr>
      </w:pPr>
      <w:r>
        <w:rPr>
          <w:rFonts w:ascii="Times New Roman" w:hAnsi="Times New Roman"/>
          <w:color w:val="auto"/>
          <w:sz w:val="24"/>
          <w:szCs w:val="24"/>
          <w:highlight w:val="none"/>
        </w:rPr>
        <w:t>1.货物为原制造商制造的全新产品，整机无污染，无侵权行为、表面无划损、无任何缺陷隐患，在中国境内可依常规安全合法使用。</w:t>
      </w:r>
    </w:p>
    <w:p w14:paraId="22183396">
      <w:pPr>
        <w:spacing w:line="360" w:lineRule="auto"/>
        <w:ind w:firstLine="482"/>
        <w:rPr>
          <w:rFonts w:ascii="Times New Roman" w:hAnsi="Times New Roman"/>
          <w:b/>
          <w:color w:val="auto"/>
          <w:sz w:val="24"/>
          <w:szCs w:val="24"/>
          <w:highlight w:val="none"/>
        </w:rPr>
      </w:pPr>
      <w:r>
        <w:rPr>
          <w:rFonts w:ascii="Times New Roman" w:hAnsi="Times New Roman"/>
          <w:b/>
          <w:color w:val="auto"/>
          <w:sz w:val="24"/>
          <w:szCs w:val="24"/>
          <w:highlight w:val="none"/>
        </w:rPr>
        <w:t xml:space="preserve">四、交货期、交货方式及交货地点 </w:t>
      </w:r>
    </w:p>
    <w:p w14:paraId="34FD08EA">
      <w:pPr>
        <w:spacing w:line="360" w:lineRule="auto"/>
        <w:ind w:firstLine="480"/>
        <w:rPr>
          <w:rFonts w:ascii="Times New Roman" w:hAnsi="Times New Roman"/>
          <w:color w:val="auto"/>
          <w:sz w:val="24"/>
          <w:szCs w:val="24"/>
          <w:highlight w:val="none"/>
        </w:rPr>
      </w:pPr>
      <w:r>
        <w:rPr>
          <w:rFonts w:ascii="Times New Roman" w:hAnsi="Times New Roman"/>
          <w:color w:val="auto"/>
          <w:sz w:val="24"/>
          <w:szCs w:val="24"/>
          <w:highlight w:val="none"/>
        </w:rPr>
        <w:t>1.交货期：</w:t>
      </w:r>
      <w:r>
        <w:rPr>
          <w:rFonts w:hint="eastAsia" w:ascii="Times New Roman" w:hAnsi="Times New Roman"/>
          <w:color w:val="auto"/>
          <w:sz w:val="24"/>
          <w:szCs w:val="24"/>
          <w:highlight w:val="none"/>
          <w:lang w:eastAsia="zh-CN"/>
        </w:rPr>
        <w:t>合同签订之日起1年</w:t>
      </w:r>
      <w:r>
        <w:rPr>
          <w:rFonts w:hint="eastAsia" w:ascii="Times New Roman" w:hAnsi="Times New Roman"/>
          <w:color w:val="auto"/>
          <w:sz w:val="24"/>
          <w:szCs w:val="24"/>
          <w:highlight w:val="none"/>
        </w:rPr>
        <w:t>。</w:t>
      </w:r>
    </w:p>
    <w:p w14:paraId="1EC28866">
      <w:pPr>
        <w:spacing w:line="360" w:lineRule="auto"/>
        <w:ind w:firstLine="480"/>
        <w:rPr>
          <w:rFonts w:ascii="Times New Roman" w:hAnsi="Times New Roman"/>
          <w:color w:val="auto"/>
          <w:sz w:val="24"/>
          <w:szCs w:val="24"/>
          <w:highlight w:val="none"/>
        </w:rPr>
      </w:pPr>
      <w:r>
        <w:rPr>
          <w:rFonts w:ascii="Times New Roman" w:hAnsi="Times New Roman"/>
          <w:color w:val="auto"/>
          <w:sz w:val="24"/>
          <w:szCs w:val="24"/>
          <w:highlight w:val="none"/>
        </w:rPr>
        <w:t>2.交货地点：甲方指定地点。</w:t>
      </w:r>
    </w:p>
    <w:p w14:paraId="4C496AF4">
      <w:pPr>
        <w:spacing w:line="360" w:lineRule="auto"/>
        <w:ind w:firstLine="482"/>
        <w:rPr>
          <w:rFonts w:ascii="Times New Roman" w:hAnsi="Times New Roman"/>
          <w:b/>
          <w:color w:val="auto"/>
          <w:sz w:val="24"/>
          <w:szCs w:val="24"/>
          <w:highlight w:val="none"/>
        </w:rPr>
      </w:pPr>
      <w:r>
        <w:rPr>
          <w:rFonts w:ascii="Times New Roman" w:hAnsi="Times New Roman"/>
          <w:b/>
          <w:color w:val="auto"/>
          <w:sz w:val="24"/>
          <w:szCs w:val="24"/>
          <w:highlight w:val="none"/>
        </w:rPr>
        <w:t>五、付款方式：</w:t>
      </w:r>
    </w:p>
    <w:p w14:paraId="54A5A23B">
      <w:pPr>
        <w:spacing w:line="360" w:lineRule="auto"/>
        <w:ind w:firstLine="480"/>
        <w:rPr>
          <w:rFonts w:ascii="Times New Roman" w:hAnsi="Times New Roman"/>
          <w:color w:val="auto"/>
          <w:sz w:val="24"/>
          <w:szCs w:val="24"/>
          <w:highlight w:val="none"/>
        </w:rPr>
      </w:pPr>
      <w:r>
        <w:rPr>
          <w:rFonts w:hint="eastAsia" w:ascii="Times New Roman" w:hAnsi="Times New Roman"/>
          <w:color w:val="auto"/>
          <w:sz w:val="24"/>
          <w:szCs w:val="24"/>
          <w:highlight w:val="none"/>
        </w:rPr>
        <w:t>项目验收合格后，根据财政情况分5年进行支付（无息）。</w:t>
      </w:r>
    </w:p>
    <w:p w14:paraId="23F38961">
      <w:pPr>
        <w:spacing w:line="360" w:lineRule="auto"/>
        <w:ind w:firstLine="482"/>
        <w:rPr>
          <w:rFonts w:ascii="Times New Roman" w:hAnsi="Times New Roman"/>
          <w:b/>
          <w:color w:val="auto"/>
          <w:sz w:val="24"/>
          <w:szCs w:val="24"/>
          <w:highlight w:val="none"/>
        </w:rPr>
      </w:pPr>
      <w:r>
        <w:rPr>
          <w:rFonts w:ascii="Times New Roman" w:hAnsi="Times New Roman"/>
          <w:b/>
          <w:color w:val="auto"/>
          <w:sz w:val="24"/>
          <w:szCs w:val="24"/>
          <w:highlight w:val="none"/>
        </w:rPr>
        <w:t>六、质保期及售后</w:t>
      </w:r>
    </w:p>
    <w:p w14:paraId="254EF938">
      <w:pPr>
        <w:spacing w:line="360" w:lineRule="auto"/>
        <w:ind w:firstLine="480"/>
        <w:rPr>
          <w:rFonts w:ascii="Times New Roman" w:hAnsi="Times New Roman"/>
          <w:color w:val="auto"/>
          <w:sz w:val="24"/>
          <w:szCs w:val="24"/>
          <w:highlight w:val="none"/>
        </w:rPr>
      </w:pPr>
      <w:r>
        <w:rPr>
          <w:rFonts w:hint="eastAsia" w:ascii="Times New Roman" w:hAnsi="Times New Roman"/>
          <w:color w:val="auto"/>
          <w:sz w:val="24"/>
          <w:szCs w:val="24"/>
          <w:highlight w:val="none"/>
        </w:rPr>
        <w:t>质保期：自本项目系统验收合格之日起，雷达设备提供</w:t>
      </w:r>
      <w:r>
        <w:rPr>
          <w:rFonts w:ascii="Times New Roman" w:hAnsi="Times New Roman"/>
          <w:color w:val="auto"/>
          <w:sz w:val="24"/>
          <w:szCs w:val="24"/>
          <w:highlight w:val="none"/>
        </w:rPr>
        <w:t>8</w:t>
      </w:r>
      <w:r>
        <w:rPr>
          <w:rFonts w:hint="eastAsia" w:ascii="Times New Roman" w:hAnsi="Times New Roman"/>
          <w:color w:val="auto"/>
          <w:sz w:val="24"/>
          <w:szCs w:val="24"/>
          <w:highlight w:val="none"/>
        </w:rPr>
        <w:t>年原厂质保，其他设备提供</w:t>
      </w:r>
      <w:r>
        <w:rPr>
          <w:rFonts w:ascii="Times New Roman" w:hAnsi="Times New Roman"/>
          <w:color w:val="auto"/>
          <w:sz w:val="24"/>
          <w:szCs w:val="24"/>
          <w:highlight w:val="none"/>
        </w:rPr>
        <w:t>3</w:t>
      </w:r>
      <w:r>
        <w:rPr>
          <w:rFonts w:hint="eastAsia" w:ascii="Times New Roman" w:hAnsi="Times New Roman"/>
          <w:color w:val="auto"/>
          <w:sz w:val="24"/>
          <w:szCs w:val="24"/>
          <w:highlight w:val="none"/>
        </w:rPr>
        <w:t>年质保，相关产品有国家规定的质保期从其规定，其规定不足</w:t>
      </w:r>
      <w:r>
        <w:rPr>
          <w:rFonts w:ascii="Times New Roman" w:hAnsi="Times New Roman"/>
          <w:color w:val="auto"/>
          <w:sz w:val="24"/>
          <w:szCs w:val="24"/>
          <w:highlight w:val="none"/>
        </w:rPr>
        <w:t>3</w:t>
      </w:r>
      <w:r>
        <w:rPr>
          <w:rFonts w:hint="eastAsia" w:ascii="Times New Roman" w:hAnsi="Times New Roman"/>
          <w:color w:val="auto"/>
          <w:sz w:val="24"/>
          <w:szCs w:val="24"/>
          <w:highlight w:val="none"/>
        </w:rPr>
        <w:t>年的按</w:t>
      </w:r>
      <w:r>
        <w:rPr>
          <w:rFonts w:ascii="Times New Roman" w:hAnsi="Times New Roman"/>
          <w:color w:val="auto"/>
          <w:sz w:val="24"/>
          <w:szCs w:val="24"/>
          <w:highlight w:val="none"/>
        </w:rPr>
        <w:t>3</w:t>
      </w:r>
      <w:r>
        <w:rPr>
          <w:rFonts w:hint="eastAsia" w:ascii="Times New Roman" w:hAnsi="Times New Roman"/>
          <w:color w:val="auto"/>
          <w:sz w:val="24"/>
          <w:szCs w:val="24"/>
          <w:highlight w:val="none"/>
        </w:rPr>
        <w:t>年计算。</w:t>
      </w:r>
    </w:p>
    <w:p w14:paraId="377AAF69">
      <w:pPr>
        <w:spacing w:line="360" w:lineRule="auto"/>
        <w:ind w:firstLine="480"/>
        <w:rPr>
          <w:rFonts w:ascii="Times New Roman" w:hAnsi="Times New Roman"/>
          <w:color w:val="auto"/>
          <w:sz w:val="24"/>
          <w:szCs w:val="24"/>
          <w:highlight w:val="none"/>
        </w:rPr>
      </w:pPr>
      <w:r>
        <w:rPr>
          <w:rFonts w:ascii="Times New Roman" w:hAnsi="Times New Roman"/>
          <w:color w:val="auto"/>
          <w:sz w:val="24"/>
          <w:szCs w:val="24"/>
          <w:highlight w:val="none"/>
        </w:rPr>
        <w:t>6.1</w:t>
      </w:r>
      <w:r>
        <w:rPr>
          <w:rFonts w:hint="eastAsia" w:ascii="Times New Roman" w:hAnsi="Times New Roman"/>
          <w:color w:val="auto"/>
          <w:sz w:val="24"/>
          <w:szCs w:val="24"/>
          <w:highlight w:val="none"/>
        </w:rPr>
        <w:t>、质保期内对不符合投标文件的投标产品详细配置、参数及性能或不能修复的货物负责免费更换。</w:t>
      </w:r>
    </w:p>
    <w:p w14:paraId="2A2772DA">
      <w:pPr>
        <w:spacing w:line="360" w:lineRule="auto"/>
        <w:ind w:firstLine="480"/>
        <w:rPr>
          <w:rFonts w:ascii="Times New Roman" w:hAnsi="Times New Roman"/>
          <w:color w:val="auto"/>
          <w:sz w:val="24"/>
          <w:szCs w:val="24"/>
          <w:highlight w:val="none"/>
        </w:rPr>
      </w:pPr>
      <w:r>
        <w:rPr>
          <w:rFonts w:ascii="Times New Roman" w:hAnsi="Times New Roman"/>
          <w:color w:val="auto"/>
          <w:sz w:val="24"/>
          <w:szCs w:val="24"/>
          <w:highlight w:val="none"/>
        </w:rPr>
        <w:t>6.2</w:t>
      </w:r>
      <w:r>
        <w:rPr>
          <w:rFonts w:hint="eastAsia" w:ascii="Times New Roman" w:hAnsi="Times New Roman"/>
          <w:color w:val="auto"/>
          <w:sz w:val="24"/>
          <w:szCs w:val="24"/>
          <w:highlight w:val="none"/>
        </w:rPr>
        <w:t>、提供所投产品投标人或制造商售后服务机构情况，包括地址、技术人员及联系方式，售后技术人员力量、设备实力等。</w:t>
      </w:r>
      <w:r>
        <w:rPr>
          <w:rFonts w:ascii="Times New Roman" w:hAnsi="Times New Roman"/>
          <w:color w:val="auto"/>
          <w:sz w:val="24"/>
          <w:szCs w:val="24"/>
          <w:highlight w:val="none"/>
        </w:rPr>
        <w:t xml:space="preserve"> </w:t>
      </w:r>
    </w:p>
    <w:p w14:paraId="0A35F428">
      <w:pPr>
        <w:spacing w:line="360" w:lineRule="auto"/>
        <w:ind w:firstLine="480"/>
        <w:rPr>
          <w:rFonts w:ascii="Times New Roman" w:hAnsi="Times New Roman"/>
          <w:color w:val="auto"/>
          <w:sz w:val="24"/>
          <w:szCs w:val="24"/>
          <w:highlight w:val="none"/>
        </w:rPr>
      </w:pPr>
      <w:r>
        <w:rPr>
          <w:rFonts w:ascii="Times New Roman" w:hAnsi="Times New Roman"/>
          <w:color w:val="auto"/>
          <w:sz w:val="24"/>
          <w:szCs w:val="24"/>
          <w:highlight w:val="none"/>
        </w:rPr>
        <w:t>6.3</w:t>
      </w:r>
      <w:r>
        <w:rPr>
          <w:rFonts w:hint="eastAsia" w:ascii="Times New Roman" w:hAnsi="Times New Roman"/>
          <w:color w:val="auto"/>
          <w:sz w:val="24"/>
          <w:szCs w:val="24"/>
          <w:highlight w:val="none"/>
        </w:rPr>
        <w:t>、质保期内免费上门保修服务，</w:t>
      </w:r>
      <w:r>
        <w:rPr>
          <w:rFonts w:ascii="Times New Roman" w:hAnsi="Times New Roman"/>
          <w:color w:val="auto"/>
          <w:sz w:val="24"/>
          <w:szCs w:val="24"/>
          <w:highlight w:val="none"/>
        </w:rPr>
        <w:t xml:space="preserve">7 </w:t>
      </w:r>
      <w:r>
        <w:rPr>
          <w:rFonts w:hint="eastAsia" w:ascii="Times New Roman" w:hAnsi="Times New Roman"/>
          <w:color w:val="auto"/>
          <w:sz w:val="24"/>
          <w:szCs w:val="24"/>
          <w:highlight w:val="none"/>
        </w:rPr>
        <w:t>天×</w:t>
      </w:r>
      <w:r>
        <w:rPr>
          <w:rFonts w:ascii="Times New Roman" w:hAnsi="Times New Roman"/>
          <w:color w:val="auto"/>
          <w:sz w:val="24"/>
          <w:szCs w:val="24"/>
          <w:highlight w:val="none"/>
        </w:rPr>
        <w:t xml:space="preserve">24 </w:t>
      </w:r>
      <w:r>
        <w:rPr>
          <w:rFonts w:hint="eastAsia" w:ascii="Times New Roman" w:hAnsi="Times New Roman"/>
          <w:color w:val="auto"/>
          <w:sz w:val="24"/>
          <w:szCs w:val="24"/>
          <w:highlight w:val="none"/>
        </w:rPr>
        <w:t>小时全年无休，</w:t>
      </w:r>
      <w:r>
        <w:rPr>
          <w:rFonts w:hint="eastAsia" w:ascii="Times New Roman" w:hAnsi="Times New Roman"/>
          <w:color w:val="auto"/>
          <w:sz w:val="24"/>
          <w:szCs w:val="24"/>
          <w:highlight w:val="none"/>
          <w:lang w:eastAsia="zh-CN"/>
        </w:rPr>
        <w:t>质保期</w:t>
      </w:r>
      <w:r>
        <w:rPr>
          <w:rFonts w:hint="eastAsia" w:ascii="Times New Roman" w:hAnsi="Times New Roman"/>
          <w:color w:val="auto"/>
          <w:sz w:val="24"/>
          <w:szCs w:val="24"/>
          <w:highlight w:val="none"/>
        </w:rPr>
        <w:t>自系统验收合格之日起计算。不接受该质保期的响应将不被接受。</w:t>
      </w:r>
      <w:r>
        <w:rPr>
          <w:rFonts w:ascii="Times New Roman" w:hAnsi="Times New Roman"/>
          <w:color w:val="auto"/>
          <w:sz w:val="24"/>
          <w:szCs w:val="24"/>
          <w:highlight w:val="none"/>
        </w:rPr>
        <w:t xml:space="preserve"> </w:t>
      </w:r>
    </w:p>
    <w:p w14:paraId="47558B32">
      <w:pPr>
        <w:spacing w:line="360" w:lineRule="auto"/>
        <w:ind w:firstLine="480"/>
        <w:rPr>
          <w:rFonts w:ascii="Times New Roman" w:hAnsi="Times New Roman"/>
          <w:color w:val="auto"/>
          <w:sz w:val="24"/>
          <w:szCs w:val="24"/>
          <w:highlight w:val="none"/>
        </w:rPr>
      </w:pPr>
      <w:r>
        <w:rPr>
          <w:rFonts w:ascii="Times New Roman" w:hAnsi="Times New Roman"/>
          <w:color w:val="auto"/>
          <w:sz w:val="24"/>
          <w:szCs w:val="24"/>
          <w:highlight w:val="none"/>
        </w:rPr>
        <w:t>6.4</w:t>
      </w:r>
      <w:r>
        <w:rPr>
          <w:rFonts w:hint="eastAsia" w:ascii="Times New Roman" w:hAnsi="Times New Roman"/>
          <w:color w:val="auto"/>
          <w:sz w:val="24"/>
          <w:szCs w:val="24"/>
          <w:highlight w:val="none"/>
        </w:rPr>
        <w:t>、质保期内（以本项目系统验收合格之日算起）应当为甲方提供以下技术支持和服务：</w:t>
      </w:r>
      <w:r>
        <w:rPr>
          <w:rFonts w:ascii="Times New Roman" w:hAnsi="Times New Roman"/>
          <w:color w:val="auto"/>
          <w:sz w:val="24"/>
          <w:szCs w:val="24"/>
          <w:highlight w:val="none"/>
        </w:rPr>
        <w:t xml:space="preserve"> </w:t>
      </w:r>
    </w:p>
    <w:p w14:paraId="64C15175">
      <w:pPr>
        <w:spacing w:line="360" w:lineRule="auto"/>
        <w:ind w:firstLine="480"/>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1</w:t>
      </w:r>
      <w:r>
        <w:rPr>
          <w:rFonts w:hint="eastAsia" w:ascii="Times New Roman" w:hAnsi="Times New Roman"/>
          <w:color w:val="auto"/>
          <w:sz w:val="24"/>
          <w:szCs w:val="24"/>
          <w:highlight w:val="none"/>
        </w:rPr>
        <w:t>）电话咨询。乙方应当为甲方提供技术援助电话，解答甲方在使用中遇到的问题，及时为甲方提出解决问题的建议和办法。</w:t>
      </w:r>
    </w:p>
    <w:p w14:paraId="5D3DDBD1">
      <w:pPr>
        <w:spacing w:line="360" w:lineRule="auto"/>
        <w:ind w:firstLine="480"/>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2</w:t>
      </w:r>
      <w:r>
        <w:rPr>
          <w:rFonts w:hint="eastAsia" w:ascii="Times New Roman" w:hAnsi="Times New Roman"/>
          <w:color w:val="auto"/>
          <w:sz w:val="24"/>
          <w:szCs w:val="24"/>
          <w:highlight w:val="none"/>
        </w:rPr>
        <w:t>）现场响应。甲方遇到使用及技术问题，电话咨询不能解决的，汛期期间乙方售后应在</w:t>
      </w:r>
      <w:r>
        <w:rPr>
          <w:rFonts w:ascii="Times New Roman" w:hAnsi="Times New Roman"/>
          <w:color w:val="auto"/>
          <w:sz w:val="24"/>
          <w:szCs w:val="24"/>
          <w:highlight w:val="none"/>
        </w:rPr>
        <w:t>24</w:t>
      </w:r>
      <w:r>
        <w:rPr>
          <w:rFonts w:hint="eastAsia" w:ascii="Times New Roman" w:hAnsi="Times New Roman"/>
          <w:color w:val="auto"/>
          <w:sz w:val="24"/>
          <w:szCs w:val="24"/>
          <w:highlight w:val="none"/>
        </w:rPr>
        <w:t>小时内到达现场进行处理，非汛期期间应在</w:t>
      </w:r>
      <w:r>
        <w:rPr>
          <w:rFonts w:ascii="Times New Roman" w:hAnsi="Times New Roman"/>
          <w:color w:val="auto"/>
          <w:sz w:val="24"/>
          <w:szCs w:val="24"/>
          <w:highlight w:val="none"/>
        </w:rPr>
        <w:t>48</w:t>
      </w:r>
      <w:r>
        <w:rPr>
          <w:rFonts w:hint="eastAsia" w:ascii="Times New Roman" w:hAnsi="Times New Roman"/>
          <w:color w:val="auto"/>
          <w:sz w:val="24"/>
          <w:szCs w:val="24"/>
          <w:highlight w:val="none"/>
        </w:rPr>
        <w:t>小时内到达现场进行处理，确保设备系统正常工作；现场无法解决的，应在</w:t>
      </w:r>
      <w:r>
        <w:rPr>
          <w:rFonts w:ascii="Times New Roman" w:hAnsi="Times New Roman"/>
          <w:color w:val="auto"/>
          <w:sz w:val="24"/>
          <w:szCs w:val="24"/>
          <w:highlight w:val="none"/>
        </w:rPr>
        <w:t>10</w:t>
      </w:r>
      <w:r>
        <w:rPr>
          <w:rFonts w:hint="eastAsia" w:ascii="Times New Roman" w:hAnsi="Times New Roman"/>
          <w:color w:val="auto"/>
          <w:sz w:val="24"/>
          <w:szCs w:val="24"/>
          <w:highlight w:val="none"/>
        </w:rPr>
        <w:t>天内提供备用产品，使采购人能够正常使用。</w:t>
      </w:r>
    </w:p>
    <w:p w14:paraId="3F617067">
      <w:pPr>
        <w:spacing w:line="360" w:lineRule="auto"/>
        <w:ind w:firstLine="480"/>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3</w:t>
      </w:r>
      <w:r>
        <w:rPr>
          <w:rFonts w:hint="eastAsia" w:ascii="Times New Roman" w:hAnsi="Times New Roman"/>
          <w:color w:val="auto"/>
          <w:sz w:val="24"/>
          <w:szCs w:val="24"/>
          <w:highlight w:val="none"/>
        </w:rPr>
        <w:t>）乙方应当定期对所供设备运行情况进行检测，消除故障隐患，以保证设备的正常运行。</w:t>
      </w:r>
    </w:p>
    <w:p w14:paraId="3B484CC3">
      <w:pPr>
        <w:spacing w:line="360" w:lineRule="auto"/>
        <w:ind w:firstLine="480"/>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4</w:t>
      </w:r>
      <w:r>
        <w:rPr>
          <w:rFonts w:hint="eastAsia" w:ascii="Times New Roman" w:hAnsi="Times New Roman"/>
          <w:color w:val="auto"/>
          <w:sz w:val="24"/>
          <w:szCs w:val="24"/>
          <w:highlight w:val="none"/>
        </w:rPr>
        <w:t>）技术升级。在质保期内，如果制造商的产品技术升级，乙方应及时通知甲方，如甲方有相应要求，乙方应对甲方购买的产品进行优惠价格的有偿升级服务。</w:t>
      </w:r>
    </w:p>
    <w:p w14:paraId="156B6526">
      <w:pPr>
        <w:spacing w:line="360" w:lineRule="auto"/>
        <w:ind w:firstLine="480"/>
        <w:rPr>
          <w:rFonts w:ascii="Times New Roman" w:hAnsi="Times New Roman"/>
          <w:color w:val="auto"/>
          <w:sz w:val="24"/>
          <w:szCs w:val="24"/>
          <w:highlight w:val="none"/>
        </w:rPr>
      </w:pPr>
      <w:r>
        <w:rPr>
          <w:rFonts w:ascii="Times New Roman" w:hAnsi="Times New Roman"/>
          <w:color w:val="auto"/>
          <w:sz w:val="24"/>
          <w:szCs w:val="24"/>
          <w:highlight w:val="none"/>
        </w:rPr>
        <w:t>6.5</w:t>
      </w:r>
      <w:r>
        <w:rPr>
          <w:rFonts w:hint="eastAsia" w:ascii="Times New Roman" w:hAnsi="Times New Roman"/>
          <w:color w:val="auto"/>
          <w:sz w:val="24"/>
          <w:szCs w:val="24"/>
          <w:highlight w:val="none"/>
        </w:rPr>
        <w:t>、质保期后应当为甲方提供以下技术支持和服务：</w:t>
      </w:r>
    </w:p>
    <w:p w14:paraId="7251B394">
      <w:pPr>
        <w:spacing w:line="360" w:lineRule="auto"/>
        <w:ind w:firstLine="480"/>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1</w:t>
      </w:r>
      <w:r>
        <w:rPr>
          <w:rFonts w:hint="eastAsia" w:ascii="Times New Roman" w:hAnsi="Times New Roman"/>
          <w:color w:val="auto"/>
          <w:sz w:val="24"/>
          <w:szCs w:val="24"/>
          <w:highlight w:val="none"/>
        </w:rPr>
        <w:t>）应同样提供免费电话咨询服务，并应承诺优惠价格有偿提供产品上门维护服务。</w:t>
      </w:r>
    </w:p>
    <w:p w14:paraId="5B851DA0">
      <w:pPr>
        <w:spacing w:line="360" w:lineRule="auto"/>
        <w:ind w:firstLine="480"/>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2</w:t>
      </w:r>
      <w:r>
        <w:rPr>
          <w:rFonts w:hint="eastAsia" w:ascii="Times New Roman" w:hAnsi="Times New Roman"/>
          <w:color w:val="auto"/>
          <w:sz w:val="24"/>
          <w:szCs w:val="24"/>
          <w:highlight w:val="none"/>
        </w:rPr>
        <w:t>）应以优惠价格继续提供售后服务。</w:t>
      </w:r>
    </w:p>
    <w:p w14:paraId="2F10B015">
      <w:pPr>
        <w:spacing w:line="360" w:lineRule="auto"/>
        <w:ind w:firstLine="482"/>
        <w:rPr>
          <w:rFonts w:ascii="Times New Roman" w:hAnsi="Times New Roman"/>
          <w:b/>
          <w:color w:val="auto"/>
          <w:sz w:val="24"/>
          <w:szCs w:val="24"/>
          <w:highlight w:val="none"/>
        </w:rPr>
      </w:pPr>
      <w:r>
        <w:rPr>
          <w:rFonts w:ascii="Times New Roman" w:hAnsi="Times New Roman"/>
          <w:b/>
          <w:color w:val="auto"/>
          <w:sz w:val="24"/>
          <w:szCs w:val="24"/>
          <w:highlight w:val="none"/>
        </w:rPr>
        <w:t>七、安装与调试</w:t>
      </w:r>
    </w:p>
    <w:p w14:paraId="7F6F7187">
      <w:pPr>
        <w:spacing w:line="360" w:lineRule="auto"/>
        <w:ind w:firstLine="480"/>
        <w:rPr>
          <w:rFonts w:ascii="Times New Roman" w:hAnsi="Times New Roman"/>
          <w:color w:val="auto"/>
          <w:sz w:val="24"/>
          <w:szCs w:val="24"/>
          <w:highlight w:val="none"/>
        </w:rPr>
      </w:pPr>
      <w:r>
        <w:rPr>
          <w:rFonts w:ascii="Times New Roman" w:hAnsi="Times New Roman"/>
          <w:color w:val="auto"/>
          <w:sz w:val="24"/>
          <w:szCs w:val="24"/>
          <w:highlight w:val="none"/>
        </w:rPr>
        <w:t>乙方负责将设备、系统安装并调试至正常运行状态。</w:t>
      </w:r>
    </w:p>
    <w:p w14:paraId="1F9752A0">
      <w:pPr>
        <w:spacing w:line="360" w:lineRule="auto"/>
        <w:ind w:firstLine="482"/>
        <w:rPr>
          <w:rFonts w:ascii="Times New Roman" w:hAnsi="Times New Roman"/>
          <w:b/>
          <w:color w:val="auto"/>
          <w:sz w:val="24"/>
          <w:szCs w:val="24"/>
          <w:highlight w:val="none"/>
        </w:rPr>
      </w:pPr>
      <w:r>
        <w:rPr>
          <w:rFonts w:ascii="Times New Roman" w:hAnsi="Times New Roman"/>
          <w:b/>
          <w:color w:val="auto"/>
          <w:sz w:val="24"/>
          <w:szCs w:val="24"/>
          <w:highlight w:val="none"/>
        </w:rPr>
        <w:t>八、验收</w:t>
      </w:r>
    </w:p>
    <w:p w14:paraId="6CA543D2">
      <w:pPr>
        <w:spacing w:line="360" w:lineRule="auto"/>
        <w:ind w:firstLine="480"/>
        <w:rPr>
          <w:rFonts w:ascii="Times New Roman" w:hAnsi="Times New Roman"/>
          <w:color w:val="auto"/>
          <w:sz w:val="24"/>
          <w:szCs w:val="24"/>
          <w:highlight w:val="none"/>
        </w:rPr>
      </w:pPr>
      <w:r>
        <w:rPr>
          <w:rFonts w:ascii="Times New Roman" w:hAnsi="Times New Roman"/>
          <w:color w:val="auto"/>
          <w:sz w:val="24"/>
          <w:szCs w:val="24"/>
          <w:highlight w:val="none"/>
        </w:rPr>
        <w:t>1.出厂验收：合同签订之日起1</w:t>
      </w:r>
      <w:r>
        <w:rPr>
          <w:rFonts w:hint="eastAsia" w:ascii="Times New Roman" w:hAnsi="Times New Roman"/>
          <w:color w:val="auto"/>
          <w:sz w:val="24"/>
          <w:szCs w:val="24"/>
          <w:highlight w:val="none"/>
        </w:rPr>
        <w:t>年内采购人对雷达设备进行验货，并出具雷达设备出厂验收报告。</w:t>
      </w:r>
    </w:p>
    <w:p w14:paraId="3D9AE332">
      <w:pPr>
        <w:spacing w:line="360" w:lineRule="auto"/>
        <w:ind w:firstLine="480"/>
        <w:rPr>
          <w:rFonts w:ascii="Times New Roman" w:hAnsi="Times New Roman"/>
          <w:color w:val="auto"/>
          <w:sz w:val="24"/>
          <w:szCs w:val="24"/>
          <w:highlight w:val="none"/>
        </w:rPr>
      </w:pPr>
      <w:r>
        <w:rPr>
          <w:rFonts w:ascii="Times New Roman" w:hAnsi="Times New Roman"/>
          <w:color w:val="auto"/>
          <w:sz w:val="24"/>
          <w:szCs w:val="24"/>
          <w:highlight w:val="none"/>
        </w:rPr>
        <w:t>2.系统验收：雷达安装调试完成，达到可使用状态后，投入观测业务试运行，系统运行稳定，气象数据收发正常，输出的气象产品符合合同要求时，乙方书面向甲方提出验收申请，甲方接到申请后组织人员对雷达系统进行验收，并出具系统验收报告。甲方出具系统验收报告后，视为乙方已完成该期项目的交付。</w:t>
      </w:r>
    </w:p>
    <w:p w14:paraId="0843D74F">
      <w:pPr>
        <w:spacing w:line="360" w:lineRule="auto"/>
        <w:ind w:firstLine="480"/>
        <w:rPr>
          <w:rFonts w:ascii="Times New Roman" w:hAnsi="Times New Roman"/>
          <w:color w:val="auto"/>
          <w:sz w:val="24"/>
          <w:szCs w:val="24"/>
          <w:highlight w:val="none"/>
        </w:rPr>
      </w:pPr>
      <w:r>
        <w:rPr>
          <w:rFonts w:ascii="Times New Roman" w:hAnsi="Times New Roman"/>
          <w:color w:val="auto"/>
          <w:sz w:val="24"/>
          <w:szCs w:val="24"/>
          <w:highlight w:val="none"/>
        </w:rPr>
        <w:t>3.终期验收：项目通过系统验收，经甲方通知后，乙方准备好所有相关材料，书面向甲方提出验收申请，甲方接到申请后组织人员对采购项目（除运维保障服务以外的全部建设内容）进行终期验收，并出具项目终期验收报告。</w:t>
      </w:r>
    </w:p>
    <w:p w14:paraId="1C1909D3">
      <w:pPr>
        <w:spacing w:line="360" w:lineRule="auto"/>
        <w:ind w:firstLine="480"/>
        <w:rPr>
          <w:rFonts w:ascii="Times New Roman" w:hAnsi="Times New Roman"/>
          <w:color w:val="auto"/>
          <w:sz w:val="24"/>
          <w:szCs w:val="24"/>
          <w:highlight w:val="none"/>
        </w:rPr>
      </w:pPr>
      <w:r>
        <w:rPr>
          <w:rFonts w:ascii="Times New Roman" w:hAnsi="Times New Roman"/>
          <w:color w:val="auto"/>
          <w:sz w:val="24"/>
          <w:szCs w:val="24"/>
          <w:highlight w:val="none"/>
        </w:rPr>
        <w:t>4.如因第三方不可控原因导致工期延迟，乙方可视情况向甲方书面递交延期申请，甲方批复同意后，方可延期。</w:t>
      </w:r>
    </w:p>
    <w:p w14:paraId="26661BD7">
      <w:pPr>
        <w:spacing w:line="360" w:lineRule="auto"/>
        <w:ind w:firstLine="482"/>
        <w:rPr>
          <w:rFonts w:ascii="Times New Roman" w:hAnsi="Times New Roman"/>
          <w:b/>
          <w:color w:val="auto"/>
          <w:sz w:val="24"/>
          <w:szCs w:val="24"/>
          <w:highlight w:val="none"/>
        </w:rPr>
      </w:pPr>
      <w:r>
        <w:rPr>
          <w:rFonts w:ascii="Times New Roman" w:hAnsi="Times New Roman"/>
          <w:b/>
          <w:color w:val="auto"/>
          <w:sz w:val="24"/>
          <w:szCs w:val="24"/>
          <w:highlight w:val="none"/>
        </w:rPr>
        <w:t>九、违约责任与赔偿损失</w:t>
      </w:r>
    </w:p>
    <w:p w14:paraId="71EA8F68">
      <w:pPr>
        <w:spacing w:line="360" w:lineRule="auto"/>
        <w:ind w:firstLine="480"/>
        <w:rPr>
          <w:rFonts w:ascii="Times New Roman" w:hAnsi="Times New Roman"/>
          <w:color w:val="auto"/>
          <w:sz w:val="24"/>
          <w:szCs w:val="24"/>
          <w:highlight w:val="none"/>
        </w:rPr>
      </w:pPr>
      <w:r>
        <w:rPr>
          <w:rFonts w:ascii="Times New Roman" w:hAnsi="Times New Roman"/>
          <w:color w:val="auto"/>
          <w:sz w:val="24"/>
          <w:szCs w:val="24"/>
          <w:highlight w:val="none"/>
        </w:rPr>
        <w:t>1.乙方交付的物品不符合招标文件、投标文件或本合同约定的，甲方有权拒收或要求乙方退货、减价、重修等，乙方应在甲方限定期限内重新交付符合规定的物品，逾期不能交付或者交付不符合规定的，甲方有权单方解除合同，乙方需向甲方支付合同价款总额 5 %的违约金。</w:t>
      </w:r>
    </w:p>
    <w:p w14:paraId="6916D570">
      <w:pPr>
        <w:spacing w:line="360" w:lineRule="auto"/>
        <w:ind w:firstLine="480"/>
        <w:rPr>
          <w:rFonts w:ascii="Times New Roman" w:hAnsi="Times New Roman"/>
          <w:color w:val="auto"/>
          <w:sz w:val="24"/>
          <w:szCs w:val="24"/>
          <w:highlight w:val="none"/>
        </w:rPr>
      </w:pPr>
      <w:r>
        <w:rPr>
          <w:rFonts w:ascii="Times New Roman" w:hAnsi="Times New Roman"/>
          <w:color w:val="auto"/>
          <w:sz w:val="24"/>
          <w:szCs w:val="24"/>
          <w:highlight w:val="none"/>
        </w:rPr>
        <w:t>2.乙方逾期交货，每逾期一日，则每日按合同总额 0.05 %向甲方支付违约金，逾期交付超过30天，甲方有权单方解除合同。</w:t>
      </w:r>
    </w:p>
    <w:p w14:paraId="7653395C">
      <w:pPr>
        <w:spacing w:line="360" w:lineRule="auto"/>
        <w:ind w:firstLine="480"/>
        <w:rPr>
          <w:rFonts w:ascii="Times New Roman" w:hAnsi="Times New Roman"/>
          <w:color w:val="auto"/>
          <w:sz w:val="24"/>
          <w:szCs w:val="24"/>
          <w:highlight w:val="none"/>
        </w:rPr>
      </w:pPr>
      <w:r>
        <w:rPr>
          <w:rFonts w:ascii="Times New Roman" w:hAnsi="Times New Roman"/>
          <w:color w:val="auto"/>
          <w:sz w:val="24"/>
          <w:szCs w:val="24"/>
          <w:highlight w:val="none"/>
        </w:rPr>
        <w:t>3.甲方无正当理由拒收货物/接受服务，到期拒付货物/服务款项的，甲方向乙方偿付本合同总额 5 %的违约金。甲方逾期付款，则每日按本合同总价的 0.05 % 向乙方偿付违约金。</w:t>
      </w:r>
    </w:p>
    <w:p w14:paraId="7337CB10">
      <w:pPr>
        <w:spacing w:line="360" w:lineRule="auto"/>
        <w:ind w:firstLine="480"/>
        <w:rPr>
          <w:rFonts w:ascii="Times New Roman" w:hAnsi="Times New Roman"/>
          <w:color w:val="auto"/>
          <w:sz w:val="24"/>
          <w:szCs w:val="24"/>
          <w:highlight w:val="none"/>
        </w:rPr>
      </w:pPr>
      <w:r>
        <w:rPr>
          <w:rFonts w:ascii="Times New Roman" w:hAnsi="Times New Roman"/>
          <w:color w:val="auto"/>
          <w:sz w:val="24"/>
          <w:szCs w:val="24"/>
          <w:highlight w:val="none"/>
        </w:rPr>
        <w:t>4.违约方除承担违约责任，还应当承担守约方维权支出费用，维权支出费用包括但不限于律师费、诉讼（仲裁）费、鉴定费、财产保全保险费等。</w:t>
      </w:r>
    </w:p>
    <w:p w14:paraId="453121BB">
      <w:pPr>
        <w:spacing w:line="360" w:lineRule="auto"/>
        <w:ind w:firstLine="482"/>
        <w:rPr>
          <w:rFonts w:ascii="Times New Roman" w:hAnsi="Times New Roman"/>
          <w:b/>
          <w:color w:val="auto"/>
          <w:sz w:val="24"/>
          <w:szCs w:val="24"/>
          <w:highlight w:val="none"/>
        </w:rPr>
      </w:pPr>
      <w:r>
        <w:rPr>
          <w:rFonts w:ascii="Times New Roman" w:hAnsi="Times New Roman"/>
          <w:b/>
          <w:color w:val="auto"/>
          <w:sz w:val="24"/>
          <w:szCs w:val="24"/>
          <w:highlight w:val="none"/>
        </w:rPr>
        <w:t>十、争议的解决</w:t>
      </w:r>
    </w:p>
    <w:p w14:paraId="63FEB6FB">
      <w:pPr>
        <w:spacing w:line="360" w:lineRule="auto"/>
        <w:ind w:firstLine="480"/>
        <w:rPr>
          <w:rFonts w:ascii="Times New Roman" w:hAnsi="Times New Roman"/>
          <w:color w:val="auto"/>
          <w:sz w:val="24"/>
          <w:szCs w:val="24"/>
          <w:highlight w:val="none"/>
        </w:rPr>
      </w:pPr>
      <w:r>
        <w:rPr>
          <w:rFonts w:ascii="Times New Roman" w:hAnsi="Times New Roman"/>
          <w:color w:val="auto"/>
          <w:sz w:val="24"/>
          <w:szCs w:val="24"/>
          <w:highlight w:val="none"/>
        </w:rPr>
        <w:t>履行本合同而引起的一切争议，买卖双方应首先通过友好协商解决，协商不成的，因本合同引起的或与本合同有关的争议，均提请甲方所在地仲裁委员会按照仲裁规则进行仲裁，仲裁裁决是终局的，对双方均有约束力。</w:t>
      </w:r>
    </w:p>
    <w:p w14:paraId="29EF6E17">
      <w:pPr>
        <w:spacing w:line="360" w:lineRule="auto"/>
        <w:ind w:firstLine="482"/>
        <w:rPr>
          <w:rFonts w:ascii="Times New Roman" w:hAnsi="Times New Roman"/>
          <w:b/>
          <w:color w:val="auto"/>
          <w:sz w:val="24"/>
          <w:szCs w:val="24"/>
          <w:highlight w:val="none"/>
        </w:rPr>
      </w:pPr>
      <w:r>
        <w:rPr>
          <w:rFonts w:ascii="Times New Roman" w:hAnsi="Times New Roman"/>
          <w:b/>
          <w:color w:val="auto"/>
          <w:sz w:val="24"/>
          <w:szCs w:val="24"/>
          <w:highlight w:val="none"/>
        </w:rPr>
        <w:t>十一、不可抗力</w:t>
      </w:r>
    </w:p>
    <w:p w14:paraId="0AD8B032">
      <w:pPr>
        <w:spacing w:line="360" w:lineRule="auto"/>
        <w:ind w:firstLine="480"/>
        <w:rPr>
          <w:rFonts w:ascii="Times New Roman" w:hAnsi="Times New Roman"/>
          <w:color w:val="auto"/>
          <w:sz w:val="24"/>
          <w:szCs w:val="24"/>
          <w:highlight w:val="none"/>
        </w:rPr>
      </w:pPr>
      <w:r>
        <w:rPr>
          <w:rFonts w:ascii="Times New Roman" w:hAnsi="Times New Roman"/>
          <w:color w:val="auto"/>
          <w:sz w:val="24"/>
          <w:szCs w:val="24"/>
          <w:highlight w:val="none"/>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63DE0137">
      <w:pPr>
        <w:spacing w:line="360" w:lineRule="auto"/>
        <w:ind w:firstLine="482"/>
        <w:rPr>
          <w:rFonts w:ascii="Times New Roman" w:hAnsi="Times New Roman"/>
          <w:b/>
          <w:color w:val="auto"/>
          <w:sz w:val="24"/>
          <w:szCs w:val="24"/>
          <w:highlight w:val="none"/>
        </w:rPr>
      </w:pPr>
      <w:r>
        <w:rPr>
          <w:rFonts w:ascii="Times New Roman" w:hAnsi="Times New Roman"/>
          <w:b/>
          <w:color w:val="auto"/>
          <w:sz w:val="24"/>
          <w:szCs w:val="24"/>
          <w:highlight w:val="none"/>
        </w:rPr>
        <w:t>十二、税费</w:t>
      </w:r>
    </w:p>
    <w:p w14:paraId="5D47EFE7">
      <w:pPr>
        <w:spacing w:line="360" w:lineRule="auto"/>
        <w:ind w:firstLine="480"/>
        <w:rPr>
          <w:rFonts w:ascii="Times New Roman" w:hAnsi="Times New Roman"/>
          <w:color w:val="auto"/>
          <w:sz w:val="24"/>
          <w:szCs w:val="24"/>
          <w:highlight w:val="none"/>
        </w:rPr>
      </w:pPr>
      <w:r>
        <w:rPr>
          <w:rFonts w:ascii="Times New Roman" w:hAnsi="Times New Roman"/>
          <w:color w:val="auto"/>
          <w:sz w:val="24"/>
          <w:szCs w:val="24"/>
          <w:highlight w:val="none"/>
        </w:rPr>
        <w:t>在中国境内、外发生的与本合同执行有关的一切税费均由双方各自负担。</w:t>
      </w:r>
    </w:p>
    <w:p w14:paraId="3C0AE696">
      <w:pPr>
        <w:spacing w:line="360" w:lineRule="auto"/>
        <w:ind w:firstLine="482"/>
        <w:rPr>
          <w:rFonts w:ascii="Times New Roman" w:hAnsi="Times New Roman"/>
          <w:b/>
          <w:color w:val="auto"/>
          <w:sz w:val="24"/>
          <w:szCs w:val="24"/>
          <w:highlight w:val="none"/>
        </w:rPr>
      </w:pPr>
      <w:r>
        <w:rPr>
          <w:rFonts w:ascii="Times New Roman" w:hAnsi="Times New Roman"/>
          <w:b/>
          <w:color w:val="auto"/>
          <w:sz w:val="24"/>
          <w:szCs w:val="24"/>
          <w:highlight w:val="none"/>
        </w:rPr>
        <w:t>十三、其它</w:t>
      </w:r>
    </w:p>
    <w:p w14:paraId="2A0AC41F">
      <w:pPr>
        <w:spacing w:line="360" w:lineRule="auto"/>
        <w:ind w:firstLine="480"/>
        <w:rPr>
          <w:rFonts w:ascii="Times New Roman" w:hAnsi="Times New Roman"/>
          <w:color w:val="auto"/>
          <w:sz w:val="24"/>
          <w:szCs w:val="24"/>
          <w:highlight w:val="none"/>
        </w:rPr>
      </w:pPr>
      <w:r>
        <w:rPr>
          <w:rFonts w:ascii="Times New Roman" w:hAnsi="Times New Roman"/>
          <w:color w:val="auto"/>
          <w:sz w:val="24"/>
          <w:szCs w:val="24"/>
          <w:highlight w:val="none"/>
        </w:rPr>
        <w:t>1.本合同所有附件、招标文件、投标文件、中标通知书均为合同的有效组成部分，与本合同具有同等法律效力。</w:t>
      </w:r>
    </w:p>
    <w:p w14:paraId="5F86E6F2">
      <w:pPr>
        <w:spacing w:line="360" w:lineRule="auto"/>
        <w:ind w:firstLine="480"/>
        <w:rPr>
          <w:rFonts w:ascii="Times New Roman" w:hAnsi="Times New Roman"/>
          <w:color w:val="auto"/>
          <w:sz w:val="24"/>
          <w:szCs w:val="24"/>
          <w:highlight w:val="none"/>
        </w:rPr>
      </w:pPr>
      <w:r>
        <w:rPr>
          <w:rFonts w:ascii="Times New Roman" w:hAnsi="Times New Roman"/>
          <w:color w:val="auto"/>
          <w:sz w:val="24"/>
          <w:szCs w:val="24"/>
          <w:highlight w:val="none"/>
        </w:rPr>
        <w:t>2.在执行本合同的过程中，所有经双方签署确认的文件（包括会议纪要、补充协议、往来信函）即成为本合同的有效组成部分。</w:t>
      </w:r>
    </w:p>
    <w:p w14:paraId="18EB385B">
      <w:pPr>
        <w:spacing w:line="360" w:lineRule="auto"/>
        <w:ind w:firstLine="480"/>
        <w:rPr>
          <w:rFonts w:ascii="Times New Roman" w:hAnsi="Times New Roman"/>
          <w:color w:val="auto"/>
          <w:sz w:val="24"/>
          <w:szCs w:val="24"/>
          <w:highlight w:val="none"/>
        </w:rPr>
      </w:pPr>
      <w:r>
        <w:rPr>
          <w:rFonts w:ascii="Times New Roman" w:hAnsi="Times New Roman"/>
          <w:color w:val="auto"/>
          <w:sz w:val="24"/>
          <w:szCs w:val="24"/>
          <w:highlight w:val="none"/>
        </w:rPr>
        <w:t>3.如一方地址、电话、传真号码有变更，应在变更当日内书面通知对方，否则，应承担相应责任。</w:t>
      </w:r>
    </w:p>
    <w:p w14:paraId="0E8E031D">
      <w:pPr>
        <w:spacing w:line="360" w:lineRule="auto"/>
        <w:ind w:firstLine="480"/>
        <w:rPr>
          <w:rFonts w:ascii="Times New Roman" w:hAnsi="Times New Roman"/>
          <w:color w:val="auto"/>
          <w:sz w:val="24"/>
          <w:szCs w:val="24"/>
          <w:highlight w:val="none"/>
        </w:rPr>
      </w:pPr>
      <w:r>
        <w:rPr>
          <w:rFonts w:ascii="Times New Roman" w:hAnsi="Times New Roman"/>
          <w:color w:val="auto"/>
          <w:sz w:val="24"/>
          <w:szCs w:val="24"/>
          <w:highlight w:val="none"/>
        </w:rPr>
        <w:t>4.除甲方事先书面同意外，乙方不得部分或全部转让其应履行的合同项下的义务。</w:t>
      </w:r>
    </w:p>
    <w:p w14:paraId="1D7050A9">
      <w:pPr>
        <w:spacing w:line="360" w:lineRule="auto"/>
        <w:ind w:firstLine="480"/>
        <w:rPr>
          <w:rFonts w:ascii="Times New Roman" w:hAnsi="Times New Roman"/>
          <w:color w:val="auto"/>
          <w:sz w:val="24"/>
          <w:szCs w:val="24"/>
          <w:highlight w:val="none"/>
        </w:rPr>
      </w:pPr>
      <w:r>
        <w:rPr>
          <w:rFonts w:ascii="Times New Roman" w:hAnsi="Times New Roman"/>
          <w:color w:val="auto"/>
          <w:sz w:val="24"/>
          <w:szCs w:val="24"/>
          <w:highlight w:val="none"/>
        </w:rPr>
        <w:t>5.双方对本合同均有保密义务，除司法和行政机关要求外，本合同内容不得向无关第三人透露。</w:t>
      </w:r>
    </w:p>
    <w:p w14:paraId="3CD72D46">
      <w:pPr>
        <w:spacing w:line="360" w:lineRule="auto"/>
        <w:ind w:firstLine="482"/>
        <w:rPr>
          <w:rFonts w:ascii="Times New Roman" w:hAnsi="Times New Roman"/>
          <w:b/>
          <w:color w:val="auto"/>
          <w:sz w:val="24"/>
          <w:szCs w:val="24"/>
          <w:highlight w:val="none"/>
        </w:rPr>
      </w:pPr>
      <w:r>
        <w:rPr>
          <w:rFonts w:ascii="Times New Roman" w:hAnsi="Times New Roman"/>
          <w:b/>
          <w:color w:val="auto"/>
          <w:sz w:val="24"/>
          <w:szCs w:val="24"/>
          <w:highlight w:val="none"/>
        </w:rPr>
        <w:t>十四、合同生效</w:t>
      </w:r>
    </w:p>
    <w:p w14:paraId="16EF83B2">
      <w:pPr>
        <w:spacing w:line="360" w:lineRule="auto"/>
        <w:ind w:firstLine="480"/>
        <w:rPr>
          <w:rFonts w:ascii="Times New Roman" w:hAnsi="Times New Roman"/>
          <w:color w:val="auto"/>
          <w:sz w:val="24"/>
          <w:szCs w:val="24"/>
          <w:highlight w:val="none"/>
        </w:rPr>
      </w:pPr>
      <w:r>
        <w:rPr>
          <w:rFonts w:ascii="Times New Roman" w:hAnsi="Times New Roman"/>
          <w:color w:val="auto"/>
          <w:sz w:val="24"/>
          <w:szCs w:val="24"/>
          <w:highlight w:val="none"/>
        </w:rPr>
        <w:t>1.合同自甲乙双方法人代表或其授权代表签字盖章之日起生效。</w:t>
      </w:r>
    </w:p>
    <w:p w14:paraId="045C89D6">
      <w:pPr>
        <w:spacing w:line="360" w:lineRule="auto"/>
        <w:ind w:firstLine="480"/>
        <w:rPr>
          <w:rFonts w:ascii="Times New Roman" w:hAnsi="Times New Roman"/>
          <w:color w:val="auto"/>
          <w:sz w:val="24"/>
          <w:szCs w:val="24"/>
          <w:highlight w:val="none"/>
        </w:rPr>
      </w:pPr>
      <w:r>
        <w:rPr>
          <w:rFonts w:ascii="Times New Roman" w:hAnsi="Times New Roman"/>
          <w:color w:val="auto"/>
          <w:sz w:val="24"/>
          <w:szCs w:val="24"/>
          <w:highlight w:val="none"/>
        </w:rPr>
        <w:t>2.合同壹式</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份，其中甲乙双方各执</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份。</w:t>
      </w:r>
    </w:p>
    <w:p w14:paraId="715D5BE9">
      <w:pPr>
        <w:spacing w:line="520" w:lineRule="exact"/>
        <w:ind w:firstLine="28" w:firstLineChars="12"/>
        <w:rPr>
          <w:rFonts w:ascii="Times New Roman" w:hAnsi="Times New Roman"/>
          <w:bCs/>
          <w:color w:val="auto"/>
          <w:sz w:val="24"/>
          <w:szCs w:val="24"/>
          <w:highlight w:val="none"/>
          <w:shd w:val="clear" w:color="auto" w:fill="FFFFFF"/>
        </w:rPr>
      </w:pPr>
      <w:r>
        <w:rPr>
          <w:rFonts w:hint="eastAsia" w:ascii="Times New Roman" w:hAnsi="Times New Roman"/>
          <w:bCs/>
          <w:color w:val="auto"/>
          <w:sz w:val="24"/>
          <w:szCs w:val="24"/>
          <w:highlight w:val="none"/>
          <w:shd w:val="clear" w:color="auto" w:fill="FFFFFF"/>
        </w:rPr>
        <w:t>甲</w:t>
      </w:r>
      <w:r>
        <w:rPr>
          <w:rFonts w:ascii="Times New Roman" w:hAnsi="Times New Roman"/>
          <w:bCs/>
          <w:color w:val="auto"/>
          <w:sz w:val="24"/>
          <w:szCs w:val="24"/>
          <w:highlight w:val="none"/>
          <w:shd w:val="clear" w:color="auto" w:fill="FFFFFF"/>
        </w:rPr>
        <w:t xml:space="preserve">   </w:t>
      </w:r>
      <w:r>
        <w:rPr>
          <w:rFonts w:hint="eastAsia" w:ascii="Times New Roman" w:hAnsi="Times New Roman"/>
          <w:bCs/>
          <w:color w:val="auto"/>
          <w:sz w:val="24"/>
          <w:szCs w:val="24"/>
          <w:highlight w:val="none"/>
          <w:shd w:val="clear" w:color="auto" w:fill="FFFFFF"/>
        </w:rPr>
        <w:t>方：（盖章）</w:t>
      </w:r>
      <w:r>
        <w:rPr>
          <w:rFonts w:ascii="Times New Roman" w:hAnsi="Times New Roman"/>
          <w:bCs/>
          <w:color w:val="auto"/>
          <w:sz w:val="24"/>
          <w:szCs w:val="24"/>
          <w:highlight w:val="none"/>
          <w:shd w:val="clear" w:color="auto" w:fill="FFFFFF"/>
        </w:rPr>
        <w:t xml:space="preserve">                    </w:t>
      </w:r>
      <w:r>
        <w:rPr>
          <w:rFonts w:hint="eastAsia" w:ascii="Times New Roman" w:hAnsi="Times New Roman"/>
          <w:bCs/>
          <w:color w:val="auto"/>
          <w:sz w:val="24"/>
          <w:szCs w:val="24"/>
          <w:highlight w:val="none"/>
          <w:shd w:val="clear" w:color="auto" w:fill="FFFFFF"/>
        </w:rPr>
        <w:t>乙</w:t>
      </w:r>
      <w:r>
        <w:rPr>
          <w:rFonts w:ascii="Times New Roman" w:hAnsi="Times New Roman"/>
          <w:bCs/>
          <w:color w:val="auto"/>
          <w:sz w:val="24"/>
          <w:szCs w:val="24"/>
          <w:highlight w:val="none"/>
          <w:shd w:val="clear" w:color="auto" w:fill="FFFFFF"/>
        </w:rPr>
        <w:t xml:space="preserve">     </w:t>
      </w:r>
      <w:r>
        <w:rPr>
          <w:rFonts w:hint="eastAsia" w:ascii="Times New Roman" w:hAnsi="Times New Roman"/>
          <w:bCs/>
          <w:color w:val="auto"/>
          <w:sz w:val="24"/>
          <w:szCs w:val="24"/>
          <w:highlight w:val="none"/>
          <w:shd w:val="clear" w:color="auto" w:fill="FFFFFF"/>
        </w:rPr>
        <w:t>方：（盖章）</w:t>
      </w:r>
      <w:r>
        <w:rPr>
          <w:rFonts w:ascii="Times New Roman" w:hAnsi="Times New Roman"/>
          <w:bCs/>
          <w:color w:val="auto"/>
          <w:sz w:val="24"/>
          <w:szCs w:val="24"/>
          <w:highlight w:val="none"/>
          <w:shd w:val="clear" w:color="auto" w:fill="FFFFFF"/>
        </w:rPr>
        <w:t xml:space="preserve">         </w:t>
      </w:r>
    </w:p>
    <w:p w14:paraId="5DADE4E7">
      <w:pPr>
        <w:spacing w:line="520" w:lineRule="exact"/>
        <w:ind w:firstLine="28" w:firstLineChars="12"/>
        <w:rPr>
          <w:rFonts w:ascii="Times New Roman" w:hAnsi="Times New Roman"/>
          <w:bCs/>
          <w:color w:val="auto"/>
          <w:sz w:val="24"/>
          <w:szCs w:val="24"/>
          <w:highlight w:val="none"/>
          <w:shd w:val="clear" w:color="auto" w:fill="FFFFFF"/>
        </w:rPr>
      </w:pPr>
      <w:r>
        <w:rPr>
          <w:rFonts w:hint="eastAsia" w:ascii="Times New Roman" w:hAnsi="Times New Roman"/>
          <w:bCs/>
          <w:color w:val="auto"/>
          <w:sz w:val="24"/>
          <w:szCs w:val="24"/>
          <w:highlight w:val="none"/>
          <w:shd w:val="clear" w:color="auto" w:fill="FFFFFF"/>
        </w:rPr>
        <w:t>法定代表人（授权代表）签字：</w:t>
      </w:r>
      <w:r>
        <w:rPr>
          <w:rFonts w:ascii="Times New Roman" w:hAnsi="Times New Roman"/>
          <w:bCs/>
          <w:color w:val="auto"/>
          <w:sz w:val="24"/>
          <w:szCs w:val="24"/>
          <w:highlight w:val="none"/>
          <w:shd w:val="clear" w:color="auto" w:fill="FFFFFF"/>
        </w:rPr>
        <w:t xml:space="preserve">           </w:t>
      </w:r>
      <w:r>
        <w:rPr>
          <w:rFonts w:hint="eastAsia" w:ascii="Times New Roman" w:hAnsi="Times New Roman"/>
          <w:bCs/>
          <w:color w:val="auto"/>
          <w:sz w:val="24"/>
          <w:szCs w:val="24"/>
          <w:highlight w:val="none"/>
          <w:shd w:val="clear" w:color="auto" w:fill="FFFFFF"/>
        </w:rPr>
        <w:t>法定代表人（授权代表）签字：</w:t>
      </w:r>
      <w:r>
        <w:rPr>
          <w:rFonts w:ascii="Times New Roman" w:hAnsi="Times New Roman"/>
          <w:bCs/>
          <w:color w:val="auto"/>
          <w:sz w:val="24"/>
          <w:szCs w:val="24"/>
          <w:highlight w:val="none"/>
          <w:shd w:val="clear" w:color="auto" w:fill="FFFFFF"/>
        </w:rPr>
        <w:t xml:space="preserve">         </w:t>
      </w:r>
    </w:p>
    <w:p w14:paraId="3B6FA496">
      <w:pPr>
        <w:spacing w:line="520" w:lineRule="exact"/>
        <w:ind w:firstLine="28" w:firstLineChars="12"/>
        <w:rPr>
          <w:rFonts w:ascii="Times New Roman" w:hAnsi="Times New Roman"/>
          <w:bCs/>
          <w:color w:val="auto"/>
          <w:sz w:val="24"/>
          <w:szCs w:val="24"/>
          <w:highlight w:val="none"/>
          <w:shd w:val="clear" w:color="auto" w:fill="FFFFFF"/>
        </w:rPr>
      </w:pPr>
      <w:r>
        <w:rPr>
          <w:rFonts w:hint="eastAsia" w:ascii="Times New Roman" w:hAnsi="Times New Roman"/>
          <w:bCs/>
          <w:color w:val="auto"/>
          <w:sz w:val="24"/>
          <w:szCs w:val="24"/>
          <w:highlight w:val="none"/>
          <w:shd w:val="clear" w:color="auto" w:fill="FFFFFF"/>
        </w:rPr>
        <w:t>委托代理人：（签字）</w:t>
      </w:r>
      <w:r>
        <w:rPr>
          <w:rFonts w:ascii="Times New Roman" w:hAnsi="Times New Roman"/>
          <w:bCs/>
          <w:color w:val="auto"/>
          <w:sz w:val="24"/>
          <w:szCs w:val="24"/>
          <w:highlight w:val="none"/>
          <w:shd w:val="clear" w:color="auto" w:fill="FFFFFF"/>
        </w:rPr>
        <w:t xml:space="preserve">                 </w:t>
      </w:r>
      <w:r>
        <w:rPr>
          <w:rFonts w:hint="eastAsia" w:ascii="Times New Roman" w:hAnsi="Times New Roman"/>
          <w:bCs/>
          <w:color w:val="auto"/>
          <w:sz w:val="24"/>
          <w:szCs w:val="24"/>
          <w:highlight w:val="none"/>
          <w:shd w:val="clear" w:color="auto" w:fill="FFFFFF"/>
        </w:rPr>
        <w:t>委托代理人：（签字）</w:t>
      </w:r>
      <w:r>
        <w:rPr>
          <w:rFonts w:ascii="Times New Roman" w:hAnsi="Times New Roman"/>
          <w:bCs/>
          <w:color w:val="auto"/>
          <w:sz w:val="24"/>
          <w:szCs w:val="24"/>
          <w:highlight w:val="none"/>
          <w:shd w:val="clear" w:color="auto" w:fill="FFFFFF"/>
        </w:rPr>
        <w:t xml:space="preserve">           </w:t>
      </w:r>
    </w:p>
    <w:p w14:paraId="655B59C1">
      <w:pPr>
        <w:spacing w:line="520" w:lineRule="exact"/>
        <w:ind w:firstLine="28" w:firstLineChars="12"/>
        <w:rPr>
          <w:rFonts w:ascii="Times New Roman" w:hAnsi="Times New Roman"/>
          <w:bCs/>
          <w:color w:val="auto"/>
          <w:sz w:val="24"/>
          <w:szCs w:val="24"/>
          <w:highlight w:val="none"/>
          <w:shd w:val="clear" w:color="auto" w:fill="FFFFFF"/>
        </w:rPr>
      </w:pPr>
      <w:r>
        <w:rPr>
          <w:rFonts w:hint="eastAsia" w:ascii="Times New Roman" w:hAnsi="Times New Roman"/>
          <w:bCs/>
          <w:color w:val="auto"/>
          <w:sz w:val="24"/>
          <w:szCs w:val="24"/>
          <w:highlight w:val="none"/>
          <w:shd w:val="clear" w:color="auto" w:fill="FFFFFF"/>
        </w:rPr>
        <w:t>开户银行：</w:t>
      </w:r>
      <w:r>
        <w:rPr>
          <w:rFonts w:ascii="Times New Roman" w:hAnsi="Times New Roman"/>
          <w:bCs/>
          <w:color w:val="auto"/>
          <w:sz w:val="24"/>
          <w:szCs w:val="24"/>
          <w:highlight w:val="none"/>
          <w:shd w:val="clear" w:color="auto" w:fill="FFFFFF"/>
        </w:rPr>
        <w:t xml:space="preserve">                             </w:t>
      </w:r>
      <w:r>
        <w:rPr>
          <w:rFonts w:hint="eastAsia" w:ascii="Times New Roman" w:hAnsi="Times New Roman"/>
          <w:bCs/>
          <w:color w:val="auto"/>
          <w:sz w:val="24"/>
          <w:szCs w:val="24"/>
          <w:highlight w:val="none"/>
          <w:shd w:val="clear" w:color="auto" w:fill="FFFFFF"/>
        </w:rPr>
        <w:t>开户银行：</w:t>
      </w:r>
      <w:r>
        <w:rPr>
          <w:rFonts w:ascii="Times New Roman" w:hAnsi="Times New Roman"/>
          <w:bCs/>
          <w:color w:val="auto"/>
          <w:sz w:val="24"/>
          <w:szCs w:val="24"/>
          <w:highlight w:val="none"/>
          <w:shd w:val="clear" w:color="auto" w:fill="FFFFFF"/>
        </w:rPr>
        <w:t xml:space="preserve">           </w:t>
      </w:r>
    </w:p>
    <w:p w14:paraId="12534D5A">
      <w:pPr>
        <w:spacing w:line="520" w:lineRule="exact"/>
        <w:ind w:firstLine="28" w:firstLineChars="12"/>
        <w:rPr>
          <w:rFonts w:ascii="Times New Roman" w:hAnsi="Times New Roman"/>
          <w:bCs/>
          <w:color w:val="auto"/>
          <w:sz w:val="24"/>
          <w:szCs w:val="24"/>
          <w:highlight w:val="none"/>
          <w:shd w:val="clear" w:color="auto" w:fill="FFFFFF"/>
        </w:rPr>
      </w:pPr>
      <w:r>
        <w:rPr>
          <w:rFonts w:hint="eastAsia" w:ascii="Times New Roman" w:hAnsi="Times New Roman"/>
          <w:bCs/>
          <w:color w:val="auto"/>
          <w:sz w:val="24"/>
          <w:szCs w:val="24"/>
          <w:highlight w:val="none"/>
          <w:shd w:val="clear" w:color="auto" w:fill="FFFFFF"/>
        </w:rPr>
        <w:t>帐</w:t>
      </w:r>
      <w:r>
        <w:rPr>
          <w:rFonts w:ascii="Times New Roman" w:hAnsi="Times New Roman"/>
          <w:bCs/>
          <w:color w:val="auto"/>
          <w:sz w:val="24"/>
          <w:szCs w:val="24"/>
          <w:highlight w:val="none"/>
          <w:shd w:val="clear" w:color="auto" w:fill="FFFFFF"/>
        </w:rPr>
        <w:t xml:space="preserve">    </w:t>
      </w:r>
      <w:r>
        <w:rPr>
          <w:rFonts w:hint="eastAsia" w:ascii="Times New Roman" w:hAnsi="Times New Roman"/>
          <w:bCs/>
          <w:color w:val="auto"/>
          <w:sz w:val="24"/>
          <w:szCs w:val="24"/>
          <w:highlight w:val="none"/>
          <w:shd w:val="clear" w:color="auto" w:fill="FFFFFF"/>
        </w:rPr>
        <w:t>号：</w:t>
      </w:r>
      <w:r>
        <w:rPr>
          <w:rFonts w:ascii="Times New Roman" w:hAnsi="Times New Roman"/>
          <w:bCs/>
          <w:color w:val="auto"/>
          <w:sz w:val="24"/>
          <w:szCs w:val="24"/>
          <w:highlight w:val="none"/>
          <w:shd w:val="clear" w:color="auto" w:fill="FFFFFF"/>
        </w:rPr>
        <w:t xml:space="preserve">                           </w:t>
      </w:r>
      <w:r>
        <w:rPr>
          <w:rFonts w:hint="eastAsia" w:ascii="Times New Roman" w:hAnsi="Times New Roman"/>
          <w:bCs/>
          <w:color w:val="auto"/>
          <w:sz w:val="24"/>
          <w:szCs w:val="24"/>
          <w:highlight w:val="none"/>
          <w:shd w:val="clear" w:color="auto" w:fill="FFFFFF"/>
        </w:rPr>
        <w:t>帐</w:t>
      </w:r>
      <w:r>
        <w:rPr>
          <w:rFonts w:ascii="Times New Roman" w:hAnsi="Times New Roman"/>
          <w:bCs/>
          <w:color w:val="auto"/>
          <w:sz w:val="24"/>
          <w:szCs w:val="24"/>
          <w:highlight w:val="none"/>
          <w:shd w:val="clear" w:color="auto" w:fill="FFFFFF"/>
        </w:rPr>
        <w:t xml:space="preserve">    </w:t>
      </w:r>
      <w:r>
        <w:rPr>
          <w:rFonts w:hint="eastAsia" w:ascii="Times New Roman" w:hAnsi="Times New Roman"/>
          <w:bCs/>
          <w:color w:val="auto"/>
          <w:sz w:val="24"/>
          <w:szCs w:val="24"/>
          <w:highlight w:val="none"/>
          <w:shd w:val="clear" w:color="auto" w:fill="FFFFFF"/>
        </w:rPr>
        <w:t>号：</w:t>
      </w:r>
      <w:r>
        <w:rPr>
          <w:rFonts w:ascii="Times New Roman" w:hAnsi="Times New Roman"/>
          <w:bCs/>
          <w:color w:val="auto"/>
          <w:sz w:val="24"/>
          <w:szCs w:val="24"/>
          <w:highlight w:val="none"/>
          <w:shd w:val="clear" w:color="auto" w:fill="FFFFFF"/>
        </w:rPr>
        <w:t xml:space="preserve">           </w:t>
      </w:r>
    </w:p>
    <w:p w14:paraId="7ABADADA">
      <w:pPr>
        <w:spacing w:line="520" w:lineRule="exact"/>
        <w:ind w:firstLine="28" w:firstLineChars="12"/>
        <w:rPr>
          <w:rFonts w:ascii="Times New Roman" w:hAnsi="Times New Roman"/>
          <w:bCs/>
          <w:color w:val="auto"/>
          <w:sz w:val="24"/>
          <w:szCs w:val="24"/>
          <w:highlight w:val="none"/>
          <w:shd w:val="clear" w:color="auto" w:fill="FFFFFF"/>
        </w:rPr>
      </w:pPr>
      <w:r>
        <w:rPr>
          <w:rFonts w:hint="eastAsia" w:ascii="Times New Roman" w:hAnsi="Times New Roman"/>
          <w:bCs/>
          <w:color w:val="auto"/>
          <w:sz w:val="24"/>
          <w:szCs w:val="24"/>
          <w:highlight w:val="none"/>
          <w:shd w:val="clear" w:color="auto" w:fill="FFFFFF"/>
        </w:rPr>
        <w:t>电</w:t>
      </w:r>
      <w:r>
        <w:rPr>
          <w:rFonts w:ascii="Times New Roman" w:hAnsi="Times New Roman"/>
          <w:bCs/>
          <w:color w:val="auto"/>
          <w:sz w:val="24"/>
          <w:szCs w:val="24"/>
          <w:highlight w:val="none"/>
          <w:shd w:val="clear" w:color="auto" w:fill="FFFFFF"/>
        </w:rPr>
        <w:t xml:space="preserve">    </w:t>
      </w:r>
      <w:r>
        <w:rPr>
          <w:rFonts w:hint="eastAsia" w:ascii="Times New Roman" w:hAnsi="Times New Roman"/>
          <w:bCs/>
          <w:color w:val="auto"/>
          <w:sz w:val="24"/>
          <w:szCs w:val="24"/>
          <w:highlight w:val="none"/>
          <w:shd w:val="clear" w:color="auto" w:fill="FFFFFF"/>
        </w:rPr>
        <w:t>话：</w:t>
      </w:r>
      <w:r>
        <w:rPr>
          <w:rFonts w:ascii="Times New Roman" w:hAnsi="Times New Roman"/>
          <w:bCs/>
          <w:color w:val="auto"/>
          <w:sz w:val="24"/>
          <w:szCs w:val="24"/>
          <w:highlight w:val="none"/>
          <w:shd w:val="clear" w:color="auto" w:fill="FFFFFF"/>
        </w:rPr>
        <w:t xml:space="preserve">                           </w:t>
      </w:r>
      <w:r>
        <w:rPr>
          <w:rFonts w:hint="eastAsia" w:ascii="Times New Roman" w:hAnsi="Times New Roman"/>
          <w:bCs/>
          <w:color w:val="auto"/>
          <w:sz w:val="24"/>
          <w:szCs w:val="24"/>
          <w:highlight w:val="none"/>
          <w:shd w:val="clear" w:color="auto" w:fill="FFFFFF"/>
        </w:rPr>
        <w:t>电</w:t>
      </w:r>
      <w:r>
        <w:rPr>
          <w:rFonts w:ascii="Times New Roman" w:hAnsi="Times New Roman"/>
          <w:bCs/>
          <w:color w:val="auto"/>
          <w:sz w:val="24"/>
          <w:szCs w:val="24"/>
          <w:highlight w:val="none"/>
          <w:shd w:val="clear" w:color="auto" w:fill="FFFFFF"/>
        </w:rPr>
        <w:t xml:space="preserve">    </w:t>
      </w:r>
      <w:r>
        <w:rPr>
          <w:rFonts w:hint="eastAsia" w:ascii="Times New Roman" w:hAnsi="Times New Roman"/>
          <w:bCs/>
          <w:color w:val="auto"/>
          <w:sz w:val="24"/>
          <w:szCs w:val="24"/>
          <w:highlight w:val="none"/>
          <w:shd w:val="clear" w:color="auto" w:fill="FFFFFF"/>
        </w:rPr>
        <w:t>话：</w:t>
      </w:r>
      <w:r>
        <w:rPr>
          <w:rFonts w:ascii="Times New Roman" w:hAnsi="Times New Roman"/>
          <w:bCs/>
          <w:color w:val="auto"/>
          <w:sz w:val="24"/>
          <w:szCs w:val="24"/>
          <w:highlight w:val="none"/>
          <w:shd w:val="clear" w:color="auto" w:fill="FFFFFF"/>
        </w:rPr>
        <w:t xml:space="preserve">           </w:t>
      </w:r>
    </w:p>
    <w:p w14:paraId="54243B1B">
      <w:pPr>
        <w:spacing w:line="520" w:lineRule="exact"/>
        <w:ind w:firstLine="28" w:firstLineChars="12"/>
        <w:rPr>
          <w:rFonts w:ascii="Times New Roman" w:hAnsi="Times New Roman"/>
          <w:bCs/>
          <w:color w:val="auto"/>
          <w:sz w:val="24"/>
          <w:szCs w:val="24"/>
          <w:highlight w:val="none"/>
          <w:shd w:val="clear" w:color="auto" w:fill="FFFFFF"/>
        </w:rPr>
      </w:pPr>
      <w:r>
        <w:rPr>
          <w:rFonts w:hint="eastAsia" w:ascii="Times New Roman" w:hAnsi="Times New Roman"/>
          <w:bCs/>
          <w:color w:val="auto"/>
          <w:sz w:val="24"/>
          <w:szCs w:val="24"/>
          <w:highlight w:val="none"/>
          <w:shd w:val="clear" w:color="auto" w:fill="FFFFFF"/>
        </w:rPr>
        <w:t>签约地址：</w:t>
      </w:r>
      <w:r>
        <w:rPr>
          <w:rFonts w:ascii="Times New Roman" w:hAnsi="Times New Roman"/>
          <w:bCs/>
          <w:color w:val="auto"/>
          <w:sz w:val="24"/>
          <w:szCs w:val="24"/>
          <w:highlight w:val="none"/>
          <w:shd w:val="clear" w:color="auto" w:fill="FFFFFF"/>
        </w:rPr>
        <w:t xml:space="preserve">                          </w:t>
      </w:r>
    </w:p>
    <w:p w14:paraId="0484A12C">
      <w:pPr>
        <w:spacing w:line="520" w:lineRule="exact"/>
        <w:ind w:firstLine="28" w:firstLineChars="12"/>
        <w:rPr>
          <w:rFonts w:ascii="Times New Roman" w:hAnsi="Times New Roman"/>
          <w:b/>
          <w:color w:val="auto"/>
          <w:sz w:val="24"/>
          <w:szCs w:val="24"/>
          <w:highlight w:val="none"/>
        </w:rPr>
      </w:pPr>
      <w:r>
        <w:rPr>
          <w:rFonts w:hint="eastAsia" w:ascii="Times New Roman" w:hAnsi="Times New Roman"/>
          <w:bCs/>
          <w:color w:val="auto"/>
          <w:sz w:val="24"/>
          <w:szCs w:val="24"/>
          <w:highlight w:val="none"/>
          <w:shd w:val="clear" w:color="auto" w:fill="FFFFFF"/>
        </w:rPr>
        <w:t>签约时间：</w:t>
      </w:r>
      <w:r>
        <w:rPr>
          <w:rFonts w:ascii="Times New Roman" w:hAnsi="Times New Roman"/>
          <w:bCs/>
          <w:color w:val="auto"/>
          <w:sz w:val="24"/>
          <w:szCs w:val="24"/>
          <w:highlight w:val="none"/>
          <w:shd w:val="clear" w:color="auto" w:fill="FFFFFF"/>
        </w:rPr>
        <w:t xml:space="preserve">     </w:t>
      </w:r>
      <w:r>
        <w:rPr>
          <w:rFonts w:hint="eastAsia" w:ascii="Times New Roman" w:hAnsi="Times New Roman"/>
          <w:bCs/>
          <w:color w:val="auto"/>
          <w:sz w:val="24"/>
          <w:szCs w:val="24"/>
          <w:highlight w:val="none"/>
          <w:shd w:val="clear" w:color="auto" w:fill="FFFFFF"/>
        </w:rPr>
        <w:t>年</w:t>
      </w:r>
      <w:r>
        <w:rPr>
          <w:rFonts w:ascii="Times New Roman" w:hAnsi="Times New Roman"/>
          <w:bCs/>
          <w:color w:val="auto"/>
          <w:sz w:val="24"/>
          <w:szCs w:val="24"/>
          <w:highlight w:val="none"/>
          <w:shd w:val="clear" w:color="auto" w:fill="FFFFFF"/>
        </w:rPr>
        <w:t xml:space="preserve"> </w:t>
      </w:r>
      <w:r>
        <w:rPr>
          <w:rFonts w:hint="eastAsia" w:ascii="Times New Roman" w:hAnsi="Times New Roman"/>
          <w:bCs/>
          <w:color w:val="auto"/>
          <w:sz w:val="24"/>
          <w:szCs w:val="24"/>
          <w:highlight w:val="none"/>
          <w:shd w:val="clear" w:color="auto" w:fill="FFFFFF"/>
        </w:rPr>
        <w:t>月</w:t>
      </w:r>
      <w:r>
        <w:rPr>
          <w:rFonts w:ascii="Times New Roman" w:hAnsi="Times New Roman"/>
          <w:bCs/>
          <w:color w:val="auto"/>
          <w:sz w:val="24"/>
          <w:szCs w:val="24"/>
          <w:highlight w:val="none"/>
          <w:shd w:val="clear" w:color="auto" w:fill="FFFFFF"/>
        </w:rPr>
        <w:t xml:space="preserve"> </w:t>
      </w:r>
      <w:r>
        <w:rPr>
          <w:rFonts w:hint="eastAsia" w:ascii="Times New Roman" w:hAnsi="Times New Roman"/>
          <w:bCs/>
          <w:color w:val="auto"/>
          <w:sz w:val="24"/>
          <w:szCs w:val="24"/>
          <w:highlight w:val="none"/>
          <w:shd w:val="clear" w:color="auto" w:fill="FFFFFF"/>
        </w:rPr>
        <w:t>日</w:t>
      </w:r>
    </w:p>
    <w:p w14:paraId="7D6DA174">
      <w:pPr>
        <w:spacing w:line="360" w:lineRule="auto"/>
        <w:jc w:val="left"/>
        <w:rPr>
          <w:rFonts w:ascii="Times New Roman" w:hAnsi="Times New Roman" w:eastAsia="仿宋_GB2312"/>
          <w:color w:val="auto"/>
          <w:kern w:val="0"/>
          <w:szCs w:val="21"/>
          <w:highlight w:val="none"/>
        </w:rPr>
      </w:pPr>
    </w:p>
    <w:p w14:paraId="3F8884A2">
      <w:pPr>
        <w:spacing w:line="360" w:lineRule="auto"/>
        <w:jc w:val="left"/>
        <w:rPr>
          <w:rFonts w:ascii="Times New Roman" w:hAnsi="Times New Roman" w:eastAsia="仿宋_GB2312"/>
          <w:color w:val="auto"/>
          <w:kern w:val="0"/>
          <w:szCs w:val="21"/>
          <w:highlight w:val="none"/>
        </w:rPr>
      </w:pPr>
    </w:p>
    <w:p w14:paraId="4770C659">
      <w:pPr>
        <w:spacing w:line="360" w:lineRule="auto"/>
        <w:jc w:val="center"/>
        <w:outlineLvl w:val="0"/>
        <w:rPr>
          <w:rFonts w:ascii="Times New Roman" w:hAnsi="Times New Roman" w:eastAsia="仿宋_GB2312"/>
          <w:b/>
          <w:bCs/>
          <w:color w:val="auto"/>
          <w:sz w:val="30"/>
          <w:szCs w:val="32"/>
          <w:highlight w:val="none"/>
          <w:shd w:val="clear" w:color="auto" w:fill="FFFFFF"/>
        </w:rPr>
      </w:pPr>
      <w:bookmarkStart w:id="479" w:name="_Toc176358372"/>
      <w:r>
        <w:rPr>
          <w:rFonts w:ascii="Times New Roman" w:hAnsi="Times New Roman" w:eastAsia="仿宋_GB2312"/>
          <w:b/>
          <w:bCs/>
          <w:color w:val="auto"/>
          <w:sz w:val="30"/>
          <w:szCs w:val="32"/>
          <w:highlight w:val="none"/>
          <w:shd w:val="clear" w:color="auto" w:fill="FFFFFF"/>
        </w:rPr>
        <w:br w:type="page"/>
      </w:r>
      <w:r>
        <w:rPr>
          <w:rFonts w:hint="eastAsia" w:ascii="Times New Roman" w:hAnsi="Times New Roman" w:eastAsia="仿宋_GB2312"/>
          <w:b/>
          <w:bCs/>
          <w:color w:val="auto"/>
          <w:sz w:val="30"/>
          <w:szCs w:val="32"/>
          <w:highlight w:val="none"/>
          <w:shd w:val="clear" w:color="auto" w:fill="FFFFFF"/>
        </w:rPr>
        <w:t>第六章</w:t>
      </w:r>
      <w:r>
        <w:rPr>
          <w:rFonts w:ascii="Times New Roman" w:hAnsi="Times New Roman" w:eastAsia="仿宋_GB2312"/>
          <w:b/>
          <w:bCs/>
          <w:color w:val="auto"/>
          <w:sz w:val="30"/>
          <w:szCs w:val="32"/>
          <w:highlight w:val="none"/>
          <w:shd w:val="clear" w:color="auto" w:fill="FFFFFF"/>
        </w:rPr>
        <w:tab/>
      </w:r>
      <w:r>
        <w:rPr>
          <w:rFonts w:hint="eastAsia" w:ascii="Times New Roman" w:hAnsi="Times New Roman" w:eastAsia="仿宋_GB2312"/>
          <w:b/>
          <w:bCs/>
          <w:color w:val="auto"/>
          <w:sz w:val="30"/>
          <w:szCs w:val="32"/>
          <w:highlight w:val="none"/>
          <w:shd w:val="clear" w:color="auto" w:fill="FFFFFF"/>
        </w:rPr>
        <w:t>投标文件格式</w:t>
      </w:r>
      <w:bookmarkEnd w:id="476"/>
      <w:bookmarkEnd w:id="477"/>
      <w:bookmarkEnd w:id="478"/>
      <w:bookmarkEnd w:id="479"/>
    </w:p>
    <w:p w14:paraId="61E580FD">
      <w:pPr>
        <w:spacing w:line="360" w:lineRule="auto"/>
        <w:jc w:val="left"/>
        <w:rPr>
          <w:rFonts w:ascii="Times New Roman" w:hAnsi="Times New Roman" w:eastAsia="@汉仪中黑 197"/>
          <w:color w:val="auto"/>
          <w:kern w:val="0"/>
          <w:sz w:val="20"/>
          <w:szCs w:val="20"/>
          <w:highlight w:val="none"/>
          <w:lang w:bidi="ar"/>
        </w:rPr>
      </w:pPr>
    </w:p>
    <w:p w14:paraId="2D38683A">
      <w:pPr>
        <w:spacing w:line="500" w:lineRule="exact"/>
        <w:jc w:val="center"/>
        <w:rPr>
          <w:rFonts w:ascii="Times New Roman" w:hAnsi="Times New Roman" w:eastAsia="仿宋_GB2312"/>
          <w:b/>
          <w:bCs/>
          <w:color w:val="auto"/>
          <w:sz w:val="32"/>
          <w:szCs w:val="32"/>
          <w:highlight w:val="none"/>
          <w:shd w:val="clear" w:color="auto" w:fill="FFFFFF"/>
          <w:lang w:bidi="ar"/>
        </w:rPr>
      </w:pPr>
    </w:p>
    <w:p w14:paraId="1EF5F5E7">
      <w:pPr>
        <w:spacing w:line="500" w:lineRule="exact"/>
        <w:jc w:val="center"/>
        <w:rPr>
          <w:rFonts w:ascii="Times New Roman" w:hAnsi="Times New Roman" w:eastAsia="仿宋_GB2312"/>
          <w:b/>
          <w:bCs/>
          <w:color w:val="auto"/>
          <w:sz w:val="32"/>
          <w:szCs w:val="32"/>
          <w:highlight w:val="none"/>
          <w:shd w:val="clear" w:color="auto" w:fill="FFFFFF"/>
          <w:lang w:bidi="ar"/>
        </w:rPr>
      </w:pPr>
      <w:r>
        <w:rPr>
          <w:rFonts w:ascii="Times New Roman" w:hAnsi="Times New Roman" w:eastAsia="仿宋_GB2312"/>
          <w:b/>
          <w:bCs/>
          <w:color w:val="auto"/>
          <w:sz w:val="32"/>
          <w:szCs w:val="32"/>
          <w:highlight w:val="none"/>
          <w:u w:val="single"/>
          <w:shd w:val="clear" w:color="auto" w:fill="FFFFFF"/>
          <w:lang w:bidi="ar"/>
        </w:rPr>
        <w:t xml:space="preserve">     </w:t>
      </w:r>
      <w:r>
        <w:rPr>
          <w:rFonts w:hint="eastAsia" w:ascii="Times New Roman" w:hAnsi="Times New Roman" w:eastAsia="仿宋_GB2312"/>
          <w:b/>
          <w:bCs/>
          <w:color w:val="auto"/>
          <w:sz w:val="32"/>
          <w:szCs w:val="32"/>
          <w:highlight w:val="none"/>
          <w:u w:val="single"/>
          <w:shd w:val="clear" w:color="auto" w:fill="FFFFFF"/>
          <w:lang w:bidi="ar"/>
        </w:rPr>
        <w:t>（项目名称）</w:t>
      </w:r>
    </w:p>
    <w:p w14:paraId="4AF43ED7">
      <w:pPr>
        <w:spacing w:line="480" w:lineRule="auto"/>
        <w:ind w:firstLine="480" w:firstLineChars="200"/>
        <w:rPr>
          <w:rFonts w:ascii="Times New Roman" w:hAnsi="Times New Roman" w:eastAsia="仿宋_GB2312"/>
          <w:color w:val="auto"/>
          <w:sz w:val="24"/>
          <w:szCs w:val="24"/>
          <w:highlight w:val="none"/>
          <w:lang w:bidi="ar"/>
        </w:rPr>
      </w:pPr>
    </w:p>
    <w:p w14:paraId="782F7C14">
      <w:pPr>
        <w:spacing w:line="500" w:lineRule="exact"/>
        <w:jc w:val="center"/>
        <w:rPr>
          <w:rFonts w:ascii="Times New Roman" w:hAnsi="Times New Roman" w:eastAsia="仿宋_GB2312"/>
          <w:b/>
          <w:bCs/>
          <w:color w:val="auto"/>
          <w:sz w:val="48"/>
          <w:szCs w:val="48"/>
          <w:highlight w:val="none"/>
          <w:shd w:val="clear" w:color="auto" w:fill="FFFFFF"/>
          <w:lang w:bidi="ar"/>
        </w:rPr>
      </w:pPr>
    </w:p>
    <w:p w14:paraId="7947C958">
      <w:pPr>
        <w:spacing w:line="500" w:lineRule="exact"/>
        <w:jc w:val="center"/>
        <w:rPr>
          <w:rFonts w:ascii="Times New Roman" w:hAnsi="Times New Roman" w:eastAsia="仿宋_GB2312"/>
          <w:b/>
          <w:bCs/>
          <w:color w:val="auto"/>
          <w:sz w:val="48"/>
          <w:szCs w:val="48"/>
          <w:highlight w:val="none"/>
          <w:shd w:val="clear" w:color="auto" w:fill="FFFFFF"/>
          <w:lang w:bidi="ar"/>
        </w:rPr>
      </w:pPr>
      <w:r>
        <w:rPr>
          <w:rFonts w:hint="eastAsia" w:ascii="Times New Roman" w:hAnsi="Times New Roman" w:eastAsia="仿宋_GB2312"/>
          <w:b/>
          <w:bCs/>
          <w:color w:val="auto"/>
          <w:sz w:val="48"/>
          <w:szCs w:val="48"/>
          <w:highlight w:val="none"/>
          <w:shd w:val="clear" w:color="auto" w:fill="FFFFFF"/>
          <w:lang w:bidi="ar"/>
        </w:rPr>
        <w:t>投标文件</w:t>
      </w:r>
    </w:p>
    <w:p w14:paraId="56E5B836">
      <w:pPr>
        <w:spacing w:line="500" w:lineRule="exact"/>
        <w:jc w:val="center"/>
        <w:rPr>
          <w:rFonts w:ascii="Times New Roman" w:hAnsi="Times New Roman" w:eastAsia="仿宋_GB2312"/>
          <w:b/>
          <w:bCs/>
          <w:color w:val="auto"/>
          <w:sz w:val="24"/>
          <w:szCs w:val="28"/>
          <w:highlight w:val="none"/>
          <w:shd w:val="clear" w:color="auto" w:fill="FFFFFF"/>
          <w:lang w:bidi="ar"/>
        </w:rPr>
      </w:pPr>
    </w:p>
    <w:p w14:paraId="465501BB">
      <w:pPr>
        <w:spacing w:line="500" w:lineRule="exact"/>
        <w:jc w:val="center"/>
        <w:rPr>
          <w:rFonts w:ascii="Times New Roman" w:hAnsi="Times New Roman" w:eastAsia="仿宋_GB2312"/>
          <w:b/>
          <w:bCs/>
          <w:color w:val="auto"/>
          <w:sz w:val="24"/>
          <w:szCs w:val="28"/>
          <w:highlight w:val="none"/>
          <w:shd w:val="clear" w:color="auto" w:fill="FFFFFF"/>
          <w:lang w:bidi="ar"/>
        </w:rPr>
      </w:pPr>
      <w:r>
        <w:rPr>
          <w:rFonts w:hint="eastAsia" w:ascii="Times New Roman" w:hAnsi="Times New Roman" w:eastAsia="仿宋_GB2312"/>
          <w:b/>
          <w:bCs/>
          <w:color w:val="auto"/>
          <w:sz w:val="24"/>
          <w:szCs w:val="28"/>
          <w:highlight w:val="none"/>
          <w:shd w:val="clear" w:color="auto" w:fill="FFFFFF"/>
          <w:lang w:bidi="ar"/>
        </w:rPr>
        <w:t>项目编号：</w:t>
      </w:r>
    </w:p>
    <w:p w14:paraId="4EBD16A1">
      <w:pPr>
        <w:spacing w:line="500" w:lineRule="exact"/>
        <w:rPr>
          <w:rFonts w:ascii="Times New Roman" w:hAnsi="Times New Roman" w:eastAsia="仿宋_GB2312"/>
          <w:b/>
          <w:bCs/>
          <w:color w:val="auto"/>
          <w:sz w:val="32"/>
          <w:szCs w:val="32"/>
          <w:highlight w:val="none"/>
          <w:shd w:val="clear" w:color="auto" w:fill="FFFFFF"/>
          <w:lang w:bidi="ar"/>
        </w:rPr>
      </w:pPr>
    </w:p>
    <w:p w14:paraId="75377445">
      <w:pPr>
        <w:spacing w:line="500" w:lineRule="exact"/>
        <w:rPr>
          <w:rFonts w:ascii="Times New Roman" w:hAnsi="Times New Roman" w:eastAsia="仿宋_GB2312"/>
          <w:b/>
          <w:bCs/>
          <w:color w:val="auto"/>
          <w:sz w:val="32"/>
          <w:szCs w:val="32"/>
          <w:highlight w:val="none"/>
          <w:shd w:val="clear" w:color="auto" w:fill="FFFFFF"/>
          <w:lang w:bidi="ar"/>
        </w:rPr>
      </w:pPr>
    </w:p>
    <w:p w14:paraId="322D3A74">
      <w:pPr>
        <w:spacing w:line="360" w:lineRule="auto"/>
        <w:ind w:firstLine="400" w:firstLineChars="200"/>
        <w:jc w:val="left"/>
        <w:rPr>
          <w:rFonts w:ascii="Times New Roman" w:hAnsi="Times New Roman" w:eastAsia="仿宋_GB2312"/>
          <w:color w:val="auto"/>
          <w:kern w:val="0"/>
          <w:sz w:val="20"/>
          <w:szCs w:val="20"/>
          <w:highlight w:val="none"/>
          <w:lang w:bidi="ar"/>
        </w:rPr>
      </w:pPr>
    </w:p>
    <w:p w14:paraId="1305B920">
      <w:pPr>
        <w:spacing w:line="360" w:lineRule="auto"/>
        <w:ind w:firstLine="400" w:firstLineChars="200"/>
        <w:jc w:val="left"/>
        <w:rPr>
          <w:rFonts w:ascii="Times New Roman" w:hAnsi="Times New Roman" w:eastAsia="仿宋_GB2312"/>
          <w:color w:val="auto"/>
          <w:kern w:val="0"/>
          <w:sz w:val="20"/>
          <w:szCs w:val="20"/>
          <w:highlight w:val="none"/>
          <w:lang w:bidi="ar"/>
        </w:rPr>
      </w:pPr>
    </w:p>
    <w:p w14:paraId="093D8CEF">
      <w:pPr>
        <w:spacing w:line="360" w:lineRule="auto"/>
        <w:ind w:firstLine="400" w:firstLineChars="200"/>
        <w:jc w:val="left"/>
        <w:rPr>
          <w:rFonts w:ascii="Times New Roman" w:hAnsi="Times New Roman" w:eastAsia="仿宋_GB2312"/>
          <w:color w:val="auto"/>
          <w:kern w:val="0"/>
          <w:sz w:val="20"/>
          <w:szCs w:val="20"/>
          <w:highlight w:val="none"/>
          <w:lang w:bidi="ar"/>
        </w:rPr>
      </w:pPr>
    </w:p>
    <w:p w14:paraId="2B17712A">
      <w:pPr>
        <w:spacing w:line="360" w:lineRule="auto"/>
        <w:ind w:firstLine="400" w:firstLineChars="200"/>
        <w:jc w:val="left"/>
        <w:rPr>
          <w:rFonts w:ascii="Times New Roman" w:hAnsi="Times New Roman" w:eastAsia="仿宋_GB2312"/>
          <w:color w:val="auto"/>
          <w:kern w:val="0"/>
          <w:sz w:val="20"/>
          <w:szCs w:val="20"/>
          <w:highlight w:val="none"/>
          <w:lang w:bidi="ar"/>
        </w:rPr>
      </w:pPr>
    </w:p>
    <w:p w14:paraId="4FFC6283">
      <w:pPr>
        <w:spacing w:line="360" w:lineRule="auto"/>
        <w:ind w:firstLine="400" w:firstLineChars="200"/>
        <w:jc w:val="left"/>
        <w:rPr>
          <w:rFonts w:ascii="Times New Roman" w:hAnsi="Times New Roman" w:eastAsia="仿宋_GB2312"/>
          <w:color w:val="auto"/>
          <w:kern w:val="0"/>
          <w:sz w:val="20"/>
          <w:szCs w:val="20"/>
          <w:highlight w:val="none"/>
          <w:lang w:bidi="ar"/>
        </w:rPr>
      </w:pPr>
    </w:p>
    <w:p w14:paraId="187D088A">
      <w:pPr>
        <w:spacing w:line="360" w:lineRule="auto"/>
        <w:ind w:firstLine="400" w:firstLineChars="200"/>
        <w:jc w:val="left"/>
        <w:rPr>
          <w:rFonts w:ascii="Times New Roman" w:hAnsi="Times New Roman" w:eastAsia="仿宋_GB2312"/>
          <w:color w:val="auto"/>
          <w:kern w:val="0"/>
          <w:sz w:val="20"/>
          <w:szCs w:val="20"/>
          <w:highlight w:val="none"/>
          <w:lang w:bidi="ar"/>
        </w:rPr>
      </w:pPr>
    </w:p>
    <w:p w14:paraId="5FD65FD7">
      <w:pPr>
        <w:spacing w:line="360" w:lineRule="auto"/>
        <w:ind w:firstLine="400" w:firstLineChars="200"/>
        <w:jc w:val="left"/>
        <w:rPr>
          <w:rFonts w:ascii="Times New Roman" w:hAnsi="Times New Roman" w:eastAsia="仿宋_GB2312"/>
          <w:color w:val="auto"/>
          <w:kern w:val="0"/>
          <w:sz w:val="20"/>
          <w:szCs w:val="20"/>
          <w:highlight w:val="none"/>
          <w:lang w:bidi="ar"/>
        </w:rPr>
      </w:pPr>
    </w:p>
    <w:p w14:paraId="69A60ECC">
      <w:pPr>
        <w:spacing w:line="360" w:lineRule="auto"/>
        <w:ind w:firstLine="607" w:firstLineChars="252"/>
        <w:rPr>
          <w:rFonts w:ascii="Times New Roman" w:hAnsi="Times New Roman" w:eastAsia="仿宋_GB2312"/>
          <w:b/>
          <w:bCs/>
          <w:color w:val="auto"/>
          <w:sz w:val="24"/>
          <w:szCs w:val="28"/>
          <w:highlight w:val="none"/>
          <w:shd w:val="clear" w:color="auto" w:fill="FFFFFF"/>
          <w:lang w:bidi="ar"/>
        </w:rPr>
      </w:pPr>
      <w:r>
        <w:rPr>
          <w:rFonts w:hint="eastAsia" w:ascii="Times New Roman" w:hAnsi="Times New Roman" w:eastAsia="仿宋_GB2312"/>
          <w:b/>
          <w:bCs/>
          <w:color w:val="auto"/>
          <w:sz w:val="24"/>
          <w:szCs w:val="28"/>
          <w:highlight w:val="none"/>
          <w:shd w:val="clear" w:color="auto" w:fill="FFFFFF"/>
          <w:lang w:bidi="ar"/>
        </w:rPr>
        <w:t>供应商名称：</w:t>
      </w:r>
      <w:r>
        <w:rPr>
          <w:rFonts w:ascii="Times New Roman" w:hAnsi="Times New Roman" w:eastAsia="仿宋_GB2312"/>
          <w:b/>
          <w:bCs/>
          <w:color w:val="auto"/>
          <w:sz w:val="24"/>
          <w:szCs w:val="28"/>
          <w:highlight w:val="none"/>
          <w:shd w:val="clear" w:color="auto" w:fill="FFFFFF"/>
          <w:lang w:bidi="ar"/>
        </w:rPr>
        <w:t xml:space="preserve"> </w:t>
      </w:r>
      <w:r>
        <w:rPr>
          <w:rFonts w:ascii="Times New Roman" w:hAnsi="Times New Roman" w:eastAsia="仿宋_GB2312"/>
          <w:b/>
          <w:bCs/>
          <w:color w:val="auto"/>
          <w:sz w:val="24"/>
          <w:szCs w:val="28"/>
          <w:highlight w:val="none"/>
          <w:u w:val="single"/>
          <w:shd w:val="clear" w:color="auto" w:fill="FFFFFF"/>
          <w:lang w:bidi="ar"/>
        </w:rPr>
        <w:t xml:space="preserve">                     </w:t>
      </w:r>
      <w:r>
        <w:rPr>
          <w:rFonts w:hint="eastAsia" w:ascii="Times New Roman" w:hAnsi="Times New Roman" w:eastAsia="仿宋_GB2312"/>
          <w:b/>
          <w:bCs/>
          <w:color w:val="auto"/>
          <w:sz w:val="24"/>
          <w:szCs w:val="28"/>
          <w:highlight w:val="none"/>
          <w:shd w:val="clear" w:color="auto" w:fill="FFFFFF"/>
          <w:lang w:bidi="ar"/>
        </w:rPr>
        <w:t>（盖单位公章）</w:t>
      </w:r>
    </w:p>
    <w:p w14:paraId="37662ED2">
      <w:pPr>
        <w:spacing w:line="360" w:lineRule="auto"/>
        <w:ind w:firstLine="607" w:firstLineChars="252"/>
        <w:rPr>
          <w:rFonts w:ascii="Times New Roman" w:hAnsi="Times New Roman" w:eastAsia="仿宋_GB2312"/>
          <w:b/>
          <w:bCs/>
          <w:color w:val="auto"/>
          <w:sz w:val="24"/>
          <w:szCs w:val="28"/>
          <w:highlight w:val="none"/>
          <w:shd w:val="clear" w:color="auto" w:fill="FFFFFF"/>
          <w:lang w:bidi="ar"/>
        </w:rPr>
      </w:pPr>
      <w:r>
        <w:rPr>
          <w:rFonts w:hint="eastAsia" w:ascii="Times New Roman" w:hAnsi="Times New Roman" w:eastAsia="仿宋_GB2312"/>
          <w:b/>
          <w:bCs/>
          <w:color w:val="auto"/>
          <w:sz w:val="24"/>
          <w:szCs w:val="28"/>
          <w:highlight w:val="none"/>
          <w:shd w:val="clear" w:color="auto" w:fill="FFFFFF"/>
          <w:lang w:bidi="ar"/>
        </w:rPr>
        <w:t>法定代表人：</w:t>
      </w:r>
      <w:r>
        <w:rPr>
          <w:rFonts w:ascii="Times New Roman" w:hAnsi="Times New Roman" w:eastAsia="仿宋_GB2312"/>
          <w:b/>
          <w:bCs/>
          <w:color w:val="auto"/>
          <w:sz w:val="24"/>
          <w:szCs w:val="28"/>
          <w:highlight w:val="none"/>
          <w:shd w:val="clear" w:color="auto" w:fill="FFFFFF"/>
          <w:lang w:bidi="ar"/>
        </w:rPr>
        <w:t xml:space="preserve"> </w:t>
      </w:r>
      <w:r>
        <w:rPr>
          <w:rFonts w:ascii="Times New Roman" w:hAnsi="Times New Roman" w:eastAsia="仿宋_GB2312"/>
          <w:b/>
          <w:bCs/>
          <w:color w:val="auto"/>
          <w:sz w:val="24"/>
          <w:szCs w:val="28"/>
          <w:highlight w:val="none"/>
          <w:u w:val="single"/>
          <w:shd w:val="clear" w:color="auto" w:fill="FFFFFF"/>
          <w:lang w:bidi="ar"/>
        </w:rPr>
        <w:t xml:space="preserve">                     </w:t>
      </w:r>
      <w:r>
        <w:rPr>
          <w:rFonts w:hint="eastAsia" w:ascii="Times New Roman" w:hAnsi="Times New Roman" w:eastAsia="仿宋_GB2312"/>
          <w:b/>
          <w:bCs/>
          <w:color w:val="auto"/>
          <w:sz w:val="24"/>
          <w:szCs w:val="28"/>
          <w:highlight w:val="none"/>
          <w:shd w:val="clear" w:color="auto" w:fill="FFFFFF"/>
          <w:lang w:bidi="ar"/>
        </w:rPr>
        <w:t>（法定代表人电子签章）</w:t>
      </w:r>
    </w:p>
    <w:p w14:paraId="7ABD2EA0">
      <w:pPr>
        <w:spacing w:line="360" w:lineRule="auto"/>
        <w:ind w:firstLine="607" w:firstLineChars="252"/>
        <w:rPr>
          <w:rFonts w:ascii="Times New Roman" w:hAnsi="Times New Roman" w:eastAsia="仿宋_GB2312"/>
          <w:b/>
          <w:bCs/>
          <w:color w:val="auto"/>
          <w:sz w:val="24"/>
          <w:szCs w:val="28"/>
          <w:highlight w:val="none"/>
          <w:shd w:val="clear" w:color="auto" w:fill="FFFFFF"/>
          <w:lang w:bidi="ar"/>
        </w:rPr>
      </w:pPr>
      <w:r>
        <w:rPr>
          <w:rFonts w:hint="eastAsia" w:ascii="Times New Roman" w:hAnsi="Times New Roman" w:eastAsia="仿宋_GB2312"/>
          <w:b/>
          <w:bCs/>
          <w:color w:val="auto"/>
          <w:sz w:val="24"/>
          <w:szCs w:val="28"/>
          <w:highlight w:val="none"/>
          <w:shd w:val="clear" w:color="auto" w:fill="FFFFFF"/>
          <w:lang w:bidi="ar"/>
        </w:rPr>
        <w:t>日</w:t>
      </w:r>
      <w:r>
        <w:rPr>
          <w:rFonts w:ascii="Times New Roman" w:hAnsi="Times New Roman" w:eastAsia="仿宋_GB2312"/>
          <w:b/>
          <w:bCs/>
          <w:color w:val="auto"/>
          <w:sz w:val="24"/>
          <w:szCs w:val="28"/>
          <w:highlight w:val="none"/>
          <w:shd w:val="clear" w:color="auto" w:fill="FFFFFF"/>
          <w:lang w:bidi="ar"/>
        </w:rPr>
        <w:tab/>
      </w:r>
      <w:r>
        <w:rPr>
          <w:rFonts w:ascii="Times New Roman" w:hAnsi="Times New Roman" w:eastAsia="仿宋_GB2312"/>
          <w:b/>
          <w:bCs/>
          <w:color w:val="auto"/>
          <w:sz w:val="24"/>
          <w:szCs w:val="28"/>
          <w:highlight w:val="none"/>
          <w:shd w:val="clear" w:color="auto" w:fill="FFFFFF"/>
          <w:lang w:bidi="ar"/>
        </w:rPr>
        <w:t xml:space="preserve">    </w:t>
      </w:r>
      <w:r>
        <w:rPr>
          <w:rFonts w:hint="eastAsia" w:ascii="Times New Roman" w:hAnsi="Times New Roman" w:eastAsia="仿宋_GB2312"/>
          <w:b/>
          <w:bCs/>
          <w:color w:val="auto"/>
          <w:sz w:val="24"/>
          <w:szCs w:val="28"/>
          <w:highlight w:val="none"/>
          <w:shd w:val="clear" w:color="auto" w:fill="FFFFFF"/>
          <w:lang w:bidi="ar"/>
        </w:rPr>
        <w:t>期：</w:t>
      </w:r>
      <w:r>
        <w:rPr>
          <w:rFonts w:ascii="Times New Roman" w:hAnsi="Times New Roman" w:eastAsia="仿宋_GB2312"/>
          <w:b/>
          <w:bCs/>
          <w:color w:val="auto"/>
          <w:sz w:val="24"/>
          <w:szCs w:val="28"/>
          <w:highlight w:val="none"/>
          <w:u w:val="single"/>
          <w:shd w:val="clear" w:color="auto" w:fill="FFFFFF"/>
          <w:lang w:bidi="ar"/>
        </w:rPr>
        <w:t xml:space="preserve">            </w:t>
      </w:r>
      <w:r>
        <w:rPr>
          <w:rFonts w:hint="eastAsia" w:ascii="Times New Roman" w:hAnsi="Times New Roman" w:eastAsia="仿宋_GB2312"/>
          <w:b/>
          <w:bCs/>
          <w:color w:val="auto"/>
          <w:sz w:val="24"/>
          <w:szCs w:val="28"/>
          <w:highlight w:val="none"/>
          <w:shd w:val="clear" w:color="auto" w:fill="FFFFFF"/>
          <w:lang w:bidi="ar"/>
        </w:rPr>
        <w:t>年</w:t>
      </w:r>
      <w:r>
        <w:rPr>
          <w:rFonts w:ascii="Times New Roman" w:hAnsi="Times New Roman" w:eastAsia="仿宋_GB2312"/>
          <w:b/>
          <w:bCs/>
          <w:color w:val="auto"/>
          <w:sz w:val="24"/>
          <w:szCs w:val="28"/>
          <w:highlight w:val="none"/>
          <w:u w:val="single"/>
          <w:shd w:val="clear" w:color="auto" w:fill="FFFFFF"/>
          <w:lang w:bidi="ar"/>
        </w:rPr>
        <w:t xml:space="preserve">       </w:t>
      </w:r>
      <w:r>
        <w:rPr>
          <w:rFonts w:hint="eastAsia" w:ascii="Times New Roman" w:hAnsi="Times New Roman" w:eastAsia="仿宋_GB2312"/>
          <w:b/>
          <w:bCs/>
          <w:color w:val="auto"/>
          <w:sz w:val="24"/>
          <w:szCs w:val="28"/>
          <w:highlight w:val="none"/>
          <w:shd w:val="clear" w:color="auto" w:fill="FFFFFF"/>
          <w:lang w:bidi="ar"/>
        </w:rPr>
        <w:t>月</w:t>
      </w:r>
      <w:r>
        <w:rPr>
          <w:rFonts w:ascii="Times New Roman" w:hAnsi="Times New Roman" w:eastAsia="仿宋_GB2312"/>
          <w:b/>
          <w:bCs/>
          <w:color w:val="auto"/>
          <w:sz w:val="24"/>
          <w:szCs w:val="28"/>
          <w:highlight w:val="none"/>
          <w:u w:val="single"/>
          <w:shd w:val="clear" w:color="auto" w:fill="FFFFFF"/>
          <w:lang w:bidi="ar"/>
        </w:rPr>
        <w:t xml:space="preserve">      </w:t>
      </w:r>
      <w:r>
        <w:rPr>
          <w:rFonts w:hint="eastAsia" w:ascii="Times New Roman" w:hAnsi="Times New Roman" w:eastAsia="仿宋_GB2312"/>
          <w:b/>
          <w:bCs/>
          <w:color w:val="auto"/>
          <w:sz w:val="24"/>
          <w:szCs w:val="28"/>
          <w:highlight w:val="none"/>
          <w:shd w:val="clear" w:color="auto" w:fill="FFFFFF"/>
          <w:lang w:bidi="ar"/>
        </w:rPr>
        <w:t>日</w:t>
      </w:r>
      <w:r>
        <w:rPr>
          <w:rFonts w:ascii="Times New Roman" w:hAnsi="Times New Roman" w:eastAsia="仿宋_GB2312"/>
          <w:b/>
          <w:bCs/>
          <w:color w:val="auto"/>
          <w:sz w:val="24"/>
          <w:szCs w:val="28"/>
          <w:highlight w:val="none"/>
          <w:shd w:val="clear" w:color="auto" w:fill="FFFFFF"/>
          <w:lang w:bidi="ar"/>
        </w:rPr>
        <w:t xml:space="preserve">         </w:t>
      </w:r>
    </w:p>
    <w:p w14:paraId="0940A50D">
      <w:pPr>
        <w:spacing w:line="500" w:lineRule="exact"/>
        <w:rPr>
          <w:rFonts w:ascii="Times New Roman" w:hAnsi="Times New Roman" w:eastAsia="仿宋_GB2312"/>
          <w:color w:val="auto"/>
          <w:sz w:val="24"/>
          <w:szCs w:val="28"/>
          <w:highlight w:val="none"/>
          <w:shd w:val="clear" w:color="auto" w:fill="FFFFFF"/>
          <w:lang w:bidi="ar"/>
        </w:rPr>
      </w:pPr>
      <w:r>
        <w:rPr>
          <w:rFonts w:ascii="Times New Roman" w:hAnsi="Times New Roman" w:eastAsia="仿宋_GB2312"/>
          <w:color w:val="auto"/>
          <w:sz w:val="24"/>
          <w:szCs w:val="28"/>
          <w:highlight w:val="none"/>
          <w:shd w:val="clear" w:color="auto" w:fill="FFFFFF"/>
          <w:lang w:bidi="ar"/>
        </w:rPr>
        <w:t xml:space="preserve"> </w:t>
      </w:r>
    </w:p>
    <w:p w14:paraId="4F4DF6DD">
      <w:pPr>
        <w:spacing w:line="360" w:lineRule="auto"/>
        <w:jc w:val="center"/>
        <w:rPr>
          <w:rFonts w:ascii="Times New Roman" w:hAnsi="Times New Roman"/>
          <w:b/>
          <w:bCs/>
          <w:color w:val="auto"/>
          <w:sz w:val="36"/>
          <w:szCs w:val="36"/>
          <w:highlight w:val="none"/>
        </w:rPr>
      </w:pPr>
      <w:bookmarkStart w:id="480" w:name="_Toc176358373"/>
      <w:r>
        <w:rPr>
          <w:rFonts w:ascii="Times New Roman" w:hAnsi="Times New Roman" w:eastAsia="仿宋_GB2312"/>
          <w:b/>
          <w:bCs/>
          <w:color w:val="auto"/>
          <w:sz w:val="24"/>
          <w:szCs w:val="32"/>
          <w:highlight w:val="none"/>
          <w:lang w:val="zh-CN" w:bidi="zh-CN"/>
        </w:rPr>
        <w:br w:type="page"/>
      </w:r>
      <w:r>
        <w:rPr>
          <w:rFonts w:hint="eastAsia" w:ascii="Times New Roman" w:hAnsi="Times New Roman"/>
          <w:b/>
          <w:bCs/>
          <w:color w:val="auto"/>
          <w:sz w:val="36"/>
          <w:szCs w:val="36"/>
          <w:highlight w:val="none"/>
        </w:rPr>
        <w:t>目</w:t>
      </w:r>
      <w:r>
        <w:rPr>
          <w:rFonts w:ascii="Times New Roman" w:hAnsi="Times New Roman"/>
          <w:b/>
          <w:bCs/>
          <w:color w:val="auto"/>
          <w:sz w:val="36"/>
          <w:szCs w:val="36"/>
          <w:highlight w:val="none"/>
        </w:rPr>
        <w:t xml:space="preserve">  </w:t>
      </w:r>
      <w:r>
        <w:rPr>
          <w:rFonts w:hint="eastAsia" w:ascii="Times New Roman" w:hAnsi="Times New Roman"/>
          <w:b/>
          <w:bCs/>
          <w:color w:val="auto"/>
          <w:sz w:val="36"/>
          <w:szCs w:val="36"/>
          <w:highlight w:val="none"/>
        </w:rPr>
        <w:t>录</w:t>
      </w:r>
    </w:p>
    <w:p w14:paraId="0522AF4A">
      <w:pPr>
        <w:spacing w:line="517" w:lineRule="exact"/>
        <w:ind w:left="277" w:hanging="277" w:hangingChars="115"/>
        <w:jc w:val="center"/>
        <w:outlineLvl w:val="1"/>
        <w:rPr>
          <w:rFonts w:ascii="Times New Roman" w:hAnsi="Times New Roman" w:eastAsia="仿宋_GB2312"/>
          <w:b/>
          <w:bCs/>
          <w:color w:val="auto"/>
          <w:sz w:val="24"/>
          <w:szCs w:val="32"/>
          <w:highlight w:val="none"/>
          <w:lang w:bidi="zh-CN"/>
        </w:rPr>
      </w:pPr>
      <w:r>
        <w:rPr>
          <w:rFonts w:hint="eastAsia" w:ascii="Times New Roman" w:hAnsi="Times New Roman" w:eastAsia="仿宋_GB2312"/>
          <w:b/>
          <w:bCs/>
          <w:color w:val="auto"/>
          <w:sz w:val="24"/>
          <w:szCs w:val="32"/>
          <w:highlight w:val="none"/>
          <w:lang w:bidi="zh-CN"/>
        </w:rPr>
        <w:t>格式自拟</w:t>
      </w:r>
    </w:p>
    <w:p w14:paraId="02E83016">
      <w:pPr>
        <w:spacing w:line="517" w:lineRule="exact"/>
        <w:ind w:left="277" w:hanging="277" w:hangingChars="115"/>
        <w:jc w:val="center"/>
        <w:outlineLvl w:val="1"/>
        <w:rPr>
          <w:rFonts w:ascii="Times New Roman" w:hAnsi="Times New Roman"/>
          <w:b/>
          <w:bCs/>
          <w:color w:val="auto"/>
          <w:sz w:val="24"/>
          <w:szCs w:val="32"/>
          <w:highlight w:val="none"/>
          <w:lang w:val="zh-CN" w:bidi="zh-CN"/>
        </w:rPr>
      </w:pPr>
      <w:r>
        <w:rPr>
          <w:rFonts w:ascii="Times New Roman" w:hAnsi="Times New Roman" w:eastAsia="仿宋_GB2312"/>
          <w:b/>
          <w:bCs/>
          <w:color w:val="auto"/>
          <w:sz w:val="24"/>
          <w:szCs w:val="32"/>
          <w:highlight w:val="none"/>
          <w:lang w:val="zh-CN" w:bidi="zh-CN"/>
        </w:rPr>
        <w:br w:type="page"/>
      </w:r>
      <w:r>
        <w:rPr>
          <w:rFonts w:hint="eastAsia" w:ascii="Times New Roman" w:hAnsi="Times New Roman"/>
          <w:b/>
          <w:bCs/>
          <w:color w:val="auto"/>
          <w:sz w:val="24"/>
          <w:szCs w:val="32"/>
          <w:highlight w:val="none"/>
          <w:lang w:val="zh-CN" w:bidi="zh-CN"/>
        </w:rPr>
        <w:t>一、投标函</w:t>
      </w:r>
      <w:bookmarkEnd w:id="480"/>
    </w:p>
    <w:p w14:paraId="2A027015">
      <w:pPr>
        <w:ind w:firstLine="480" w:firstLineChars="200"/>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致</w:t>
      </w:r>
      <w:r>
        <w:rPr>
          <w:rFonts w:ascii="Times New Roman" w:hAnsi="Times New Roman"/>
          <w:color w:val="auto"/>
          <w:sz w:val="24"/>
          <w:szCs w:val="24"/>
          <w:highlight w:val="none"/>
          <w:u w:val="single"/>
          <w:shd w:val="clear" w:color="auto" w:fill="FFFFFF"/>
          <w:lang w:bidi="ar"/>
        </w:rPr>
        <w:t xml:space="preserve"> </w:t>
      </w:r>
      <w:r>
        <w:rPr>
          <w:rFonts w:ascii="Times New Roman" w:hAnsi="Times New Roman"/>
          <w:color w:val="auto"/>
          <w:sz w:val="24"/>
          <w:szCs w:val="24"/>
          <w:highlight w:val="none"/>
          <w:u w:val="single"/>
          <w:shd w:val="clear" w:color="auto" w:fill="FFFFFF"/>
          <w:lang w:bidi="ar"/>
        </w:rPr>
        <w:tab/>
      </w:r>
      <w:r>
        <w:rPr>
          <w:rFonts w:ascii="Times New Roman" w:hAnsi="Times New Roman"/>
          <w:color w:val="auto"/>
          <w:sz w:val="24"/>
          <w:szCs w:val="24"/>
          <w:highlight w:val="none"/>
          <w:u w:val="single"/>
          <w:shd w:val="clear" w:color="auto" w:fill="FFFFFF"/>
          <w:lang w:bidi="ar"/>
        </w:rPr>
        <w:t xml:space="preserve"> </w:t>
      </w:r>
      <w:r>
        <w:rPr>
          <w:rFonts w:hint="eastAsia" w:ascii="Times New Roman" w:hAnsi="Times New Roman"/>
          <w:color w:val="auto"/>
          <w:sz w:val="24"/>
          <w:szCs w:val="24"/>
          <w:highlight w:val="none"/>
          <w:u w:val="single"/>
          <w:shd w:val="clear" w:color="auto" w:fill="FFFFFF"/>
          <w:lang w:bidi="ar"/>
        </w:rPr>
        <w:t>（采购人）</w:t>
      </w:r>
      <w:r>
        <w:rPr>
          <w:rFonts w:ascii="Times New Roman" w:hAnsi="Times New Roman"/>
          <w:color w:val="auto"/>
          <w:sz w:val="24"/>
          <w:szCs w:val="24"/>
          <w:highlight w:val="none"/>
          <w:u w:val="single"/>
          <w:shd w:val="clear" w:color="auto" w:fill="FFFFFF"/>
          <w:lang w:bidi="ar"/>
        </w:rPr>
        <w:t xml:space="preserve">    </w:t>
      </w:r>
      <w:r>
        <w:rPr>
          <w:rFonts w:ascii="Times New Roman" w:hAnsi="Times New Roman"/>
          <w:color w:val="auto"/>
          <w:sz w:val="24"/>
          <w:szCs w:val="24"/>
          <w:highlight w:val="none"/>
          <w:u w:val="single"/>
          <w:shd w:val="clear" w:color="auto" w:fill="FFFFFF"/>
          <w:lang w:bidi="ar"/>
        </w:rPr>
        <w:tab/>
      </w:r>
      <w:r>
        <w:rPr>
          <w:rFonts w:hint="eastAsia" w:ascii="Times New Roman" w:hAnsi="Times New Roman"/>
          <w:color w:val="auto"/>
          <w:sz w:val="24"/>
          <w:szCs w:val="24"/>
          <w:highlight w:val="none"/>
          <w:shd w:val="clear" w:color="auto" w:fill="FFFFFF"/>
          <w:lang w:bidi="ar"/>
        </w:rPr>
        <w:t>：</w:t>
      </w:r>
    </w:p>
    <w:p w14:paraId="0170E7AF">
      <w:pPr>
        <w:ind w:firstLine="480" w:firstLineChars="200"/>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根据已收到贵方的</w:t>
      </w:r>
      <w:r>
        <w:rPr>
          <w:rFonts w:ascii="Times New Roman" w:hAnsi="Times New Roman"/>
          <w:color w:val="auto"/>
          <w:sz w:val="24"/>
          <w:szCs w:val="24"/>
          <w:highlight w:val="none"/>
          <w:u w:val="single"/>
          <w:shd w:val="clear" w:color="auto" w:fill="FFFFFF"/>
          <w:lang w:bidi="ar"/>
        </w:rPr>
        <w:t xml:space="preserve"> </w:t>
      </w:r>
      <w:r>
        <w:rPr>
          <w:rFonts w:ascii="Times New Roman" w:hAnsi="Times New Roman"/>
          <w:color w:val="auto"/>
          <w:sz w:val="24"/>
          <w:szCs w:val="24"/>
          <w:highlight w:val="none"/>
          <w:u w:val="single"/>
          <w:shd w:val="clear" w:color="auto" w:fill="FFFFFF"/>
          <w:lang w:bidi="ar"/>
        </w:rPr>
        <w:tab/>
      </w:r>
      <w:r>
        <w:rPr>
          <w:rFonts w:ascii="Times New Roman" w:hAnsi="Times New Roman"/>
          <w:color w:val="auto"/>
          <w:sz w:val="24"/>
          <w:szCs w:val="24"/>
          <w:highlight w:val="none"/>
          <w:u w:val="single"/>
          <w:shd w:val="clear" w:color="auto" w:fill="FFFFFF"/>
          <w:lang w:bidi="ar"/>
        </w:rPr>
        <w:t xml:space="preserve">        </w:t>
      </w:r>
      <w:r>
        <w:rPr>
          <w:rFonts w:hint="eastAsia" w:ascii="Times New Roman" w:hAnsi="Times New Roman"/>
          <w:color w:val="auto"/>
          <w:sz w:val="24"/>
          <w:szCs w:val="24"/>
          <w:highlight w:val="none"/>
          <w:shd w:val="clear" w:color="auto" w:fill="FFFFFF"/>
          <w:lang w:bidi="ar"/>
        </w:rPr>
        <w:t>（项目名称）</w:t>
      </w:r>
      <w:r>
        <w:rPr>
          <w:rFonts w:ascii="Times New Roman" w:hAnsi="Times New Roman"/>
          <w:color w:val="auto"/>
          <w:sz w:val="24"/>
          <w:szCs w:val="24"/>
          <w:highlight w:val="none"/>
          <w:u w:val="single"/>
          <w:shd w:val="clear" w:color="auto" w:fill="FFFFFF"/>
          <w:lang w:bidi="ar"/>
        </w:rPr>
        <w:t xml:space="preserve">        </w:t>
      </w:r>
      <w:r>
        <w:rPr>
          <w:rFonts w:hint="eastAsia" w:ascii="Times New Roman" w:hAnsi="Times New Roman"/>
          <w:color w:val="auto"/>
          <w:sz w:val="24"/>
          <w:szCs w:val="24"/>
          <w:highlight w:val="none"/>
          <w:shd w:val="clear" w:color="auto" w:fill="FFFFFF"/>
          <w:lang w:bidi="ar"/>
        </w:rPr>
        <w:t>（项目编号）的招标文件，遵照法律、法规等有关规定，我单位经研究上述招标文件的投标须知、合同条款、技术参数及其它有关文件后，我方愿以人民币（大写）：</w:t>
      </w:r>
      <w:r>
        <w:rPr>
          <w:rFonts w:ascii="Times New Roman" w:hAnsi="Times New Roman"/>
          <w:color w:val="auto"/>
          <w:sz w:val="24"/>
          <w:szCs w:val="24"/>
          <w:highlight w:val="none"/>
          <w:u w:val="single"/>
          <w:shd w:val="clear" w:color="auto" w:fill="FFFFFF"/>
          <w:lang w:bidi="ar"/>
        </w:rPr>
        <w:t xml:space="preserve">    </w:t>
      </w:r>
      <w:r>
        <w:rPr>
          <w:rFonts w:hint="eastAsia" w:ascii="Times New Roman" w:hAnsi="Times New Roman"/>
          <w:color w:val="auto"/>
          <w:sz w:val="24"/>
          <w:szCs w:val="24"/>
          <w:highlight w:val="none"/>
          <w:shd w:val="clear" w:color="auto" w:fill="FFFFFF"/>
          <w:lang w:bidi="ar"/>
        </w:rPr>
        <w:t>（小写：</w:t>
      </w:r>
      <w:r>
        <w:rPr>
          <w:rFonts w:ascii="Times New Roman" w:hAnsi="Times New Roman"/>
          <w:color w:val="auto"/>
          <w:sz w:val="24"/>
          <w:szCs w:val="24"/>
          <w:highlight w:val="none"/>
          <w:u w:val="single"/>
          <w:shd w:val="clear" w:color="auto" w:fill="FFFFFF"/>
          <w:lang w:bidi="ar"/>
        </w:rPr>
        <w:t xml:space="preserve">      </w:t>
      </w:r>
      <w:r>
        <w:rPr>
          <w:rFonts w:hint="eastAsia" w:ascii="Times New Roman" w:hAnsi="Times New Roman"/>
          <w:color w:val="auto"/>
          <w:sz w:val="24"/>
          <w:szCs w:val="24"/>
          <w:highlight w:val="none"/>
          <w:shd w:val="clear" w:color="auto" w:fill="FFFFFF"/>
          <w:lang w:bidi="ar"/>
        </w:rPr>
        <w:t>）的投标报价；合同履行期限（交货期）</w:t>
      </w:r>
      <w:r>
        <w:rPr>
          <w:rFonts w:ascii="Times New Roman" w:hAnsi="Times New Roman"/>
          <w:color w:val="auto"/>
          <w:sz w:val="24"/>
          <w:szCs w:val="24"/>
          <w:highlight w:val="none"/>
          <w:u w:val="single"/>
          <w:shd w:val="clear" w:color="auto" w:fill="FFFFFF"/>
          <w:lang w:bidi="ar"/>
        </w:rPr>
        <w:t xml:space="preserve">      </w:t>
      </w:r>
      <w:r>
        <w:rPr>
          <w:rFonts w:ascii="Times New Roman" w:hAnsi="Times New Roman"/>
          <w:color w:val="auto"/>
          <w:sz w:val="24"/>
          <w:szCs w:val="24"/>
          <w:highlight w:val="none"/>
          <w:shd w:val="clear" w:color="auto" w:fill="FFFFFF"/>
          <w:lang w:bidi="ar"/>
        </w:rPr>
        <w:t>,</w:t>
      </w:r>
      <w:r>
        <w:rPr>
          <w:rFonts w:hint="eastAsia" w:ascii="Times New Roman" w:hAnsi="Times New Roman"/>
          <w:color w:val="auto"/>
          <w:sz w:val="24"/>
          <w:szCs w:val="24"/>
          <w:highlight w:val="none"/>
          <w:shd w:val="clear" w:color="auto" w:fill="FFFFFF"/>
          <w:lang w:bidi="ar"/>
        </w:rPr>
        <w:t>质量要求</w:t>
      </w:r>
      <w:r>
        <w:rPr>
          <w:rFonts w:ascii="Times New Roman" w:hAnsi="Times New Roman"/>
          <w:color w:val="auto"/>
          <w:sz w:val="24"/>
          <w:szCs w:val="24"/>
          <w:highlight w:val="none"/>
          <w:u w:val="single"/>
          <w:shd w:val="clear" w:color="auto" w:fill="FFFFFF"/>
          <w:lang w:bidi="ar"/>
        </w:rPr>
        <w:t xml:space="preserve">      </w:t>
      </w:r>
      <w:r>
        <w:rPr>
          <w:rFonts w:ascii="Times New Roman" w:hAnsi="Times New Roman"/>
          <w:color w:val="auto"/>
          <w:sz w:val="24"/>
          <w:szCs w:val="24"/>
          <w:highlight w:val="none"/>
          <w:shd w:val="clear" w:color="auto" w:fill="FFFFFF"/>
          <w:lang w:bidi="ar"/>
        </w:rPr>
        <w:t>,</w:t>
      </w:r>
      <w:r>
        <w:rPr>
          <w:rFonts w:hint="eastAsia" w:ascii="Times New Roman" w:hAnsi="Times New Roman"/>
          <w:color w:val="auto"/>
          <w:sz w:val="24"/>
          <w:szCs w:val="24"/>
          <w:highlight w:val="none"/>
          <w:shd w:val="clear" w:color="auto" w:fill="FFFFFF"/>
          <w:lang w:eastAsia="zh-CN" w:bidi="ar"/>
        </w:rPr>
        <w:t>质保期</w:t>
      </w:r>
      <w:r>
        <w:rPr>
          <w:rFonts w:ascii="Times New Roman" w:hAnsi="Times New Roman"/>
          <w:color w:val="auto"/>
          <w:sz w:val="24"/>
          <w:szCs w:val="24"/>
          <w:highlight w:val="none"/>
          <w:u w:val="single"/>
          <w:shd w:val="clear" w:color="auto" w:fill="FFFFFF"/>
          <w:lang w:bidi="ar"/>
        </w:rPr>
        <w:t xml:space="preserve">      </w:t>
      </w:r>
      <w:r>
        <w:rPr>
          <w:rFonts w:ascii="Times New Roman" w:hAnsi="Times New Roman"/>
          <w:color w:val="auto"/>
          <w:sz w:val="24"/>
          <w:szCs w:val="24"/>
          <w:highlight w:val="none"/>
          <w:shd w:val="clear" w:color="auto" w:fill="FFFFFF"/>
          <w:lang w:bidi="ar"/>
        </w:rPr>
        <w:t>,</w:t>
      </w:r>
      <w:r>
        <w:rPr>
          <w:rFonts w:hint="eastAsia" w:ascii="Times New Roman" w:hAnsi="Times New Roman"/>
          <w:color w:val="auto"/>
          <w:sz w:val="24"/>
          <w:szCs w:val="24"/>
          <w:highlight w:val="none"/>
          <w:shd w:val="clear" w:color="auto" w:fill="FFFFFF"/>
          <w:lang w:bidi="ar"/>
        </w:rPr>
        <w:t>承包上述项目的采购及安装、调试、验收、培训、</w:t>
      </w:r>
      <w:r>
        <w:rPr>
          <w:rFonts w:hint="eastAsia" w:ascii="Times New Roman" w:hAnsi="Times New Roman"/>
          <w:color w:val="auto"/>
          <w:sz w:val="24"/>
          <w:szCs w:val="24"/>
          <w:highlight w:val="none"/>
          <w:shd w:val="clear" w:color="auto" w:fill="FFFFFF"/>
          <w:lang w:eastAsia="zh-CN" w:bidi="ar"/>
        </w:rPr>
        <w:t>质保期</w:t>
      </w:r>
      <w:r>
        <w:rPr>
          <w:rFonts w:hint="eastAsia" w:ascii="Times New Roman" w:hAnsi="Times New Roman"/>
          <w:color w:val="auto"/>
          <w:sz w:val="24"/>
          <w:szCs w:val="24"/>
          <w:highlight w:val="none"/>
          <w:shd w:val="clear" w:color="auto" w:fill="FFFFFF"/>
          <w:lang w:bidi="ar"/>
        </w:rPr>
        <w:t>服务、与货物有关的运输和保险及其他伴随服务。</w:t>
      </w:r>
    </w:p>
    <w:p w14:paraId="32C26E86">
      <w:pPr>
        <w:ind w:firstLine="480" w:firstLineChars="200"/>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1.我方已详细审核全部招标文件，包括修改文件（如有）及有关附件，已充分理解并掌握了本招标项目的全部有关情况，认为招标文件符合法律、法规的要求，充分体现了公开、公平、公正和诚实信用原则，我方对招标文件没有任何异议。同意接受招标文件的全部内容和条件。</w:t>
      </w:r>
    </w:p>
    <w:p w14:paraId="398FF126">
      <w:pPr>
        <w:ind w:firstLine="480" w:firstLineChars="200"/>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2.我方承认投标函附表是我方投标函的组成部分。</w:t>
      </w:r>
    </w:p>
    <w:p w14:paraId="1271A89B">
      <w:pPr>
        <w:ind w:firstLine="480" w:firstLineChars="200"/>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3.如我方中标，我方承诺在收到中标通知书后，在中标通知书规定的期限内，根据招标文件、我方的投标文件及有关澄清承诺书的要求，与采购人订立书面合同，并按照合同约定承担完成合同的责任和义务。</w:t>
      </w:r>
    </w:p>
    <w:p w14:paraId="3BC7050F">
      <w:pPr>
        <w:ind w:firstLine="480" w:firstLineChars="200"/>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4.我方同意自本项目招标文件中规定的投标有效期内有效，并承诺在投标有效期内不修改、撤销投标文件。</w:t>
      </w:r>
    </w:p>
    <w:p w14:paraId="1185D397">
      <w:pPr>
        <w:ind w:firstLine="480" w:firstLineChars="200"/>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5.我方完全理解贵方不一定接受投标报价最低的供应商为中标供应商的行为。</w:t>
      </w:r>
    </w:p>
    <w:p w14:paraId="26CAB4CA">
      <w:pPr>
        <w:ind w:firstLine="480" w:firstLineChars="200"/>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6.我方愿按招标文件“供应商须知”第5条规定向招标代理机构足额交纳招标代理服务费。</w:t>
      </w:r>
    </w:p>
    <w:p w14:paraId="7B64C27C">
      <w:pPr>
        <w:ind w:firstLine="480" w:firstLineChars="200"/>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7.我方在此声明，所递交的投标文件及有关资料内容完整、真实和准确。</w:t>
      </w:r>
    </w:p>
    <w:p w14:paraId="1E30EEC4">
      <w:pPr>
        <w:ind w:firstLine="480" w:firstLineChars="200"/>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8.我方具备《政府采购法》第二十二条规定的条件；承诺如下：</w:t>
      </w:r>
    </w:p>
    <w:p w14:paraId="0A80C120">
      <w:pPr>
        <w:ind w:firstLine="480" w:firstLineChars="200"/>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8.1. 供应商应具有合法有效的营业执照（可使用电子营业执照）。</w:t>
      </w:r>
    </w:p>
    <w:p w14:paraId="4F61CCFF">
      <w:pPr>
        <w:ind w:firstLine="480" w:firstLineChars="200"/>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8.2. 我方已依法缴纳了各项税费及社会保险费用，如有需要，可随时向采购人提供近三个月内的相关缴费证明，以便核查。</w:t>
      </w:r>
    </w:p>
    <w:p w14:paraId="1B8F3BC3">
      <w:pPr>
        <w:ind w:firstLine="480" w:firstLineChars="200"/>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8.3. 我方已依法建立健全的财务会计制度，如有需要，可随时向采购人提供相关证明材料，以便核查。</w:t>
      </w:r>
    </w:p>
    <w:p w14:paraId="08AABBC3">
      <w:pPr>
        <w:ind w:firstLine="480" w:firstLineChars="200"/>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8.4. 参加政府采购活动前三年内，在经营活动中没有重大违法记录。</w:t>
      </w:r>
    </w:p>
    <w:p w14:paraId="16E0A0A4">
      <w:pPr>
        <w:ind w:firstLine="480" w:firstLineChars="200"/>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8.5. 符合法律、行政法规规定的其他条件。</w:t>
      </w:r>
    </w:p>
    <w:p w14:paraId="6321C9E4">
      <w:pPr>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供应商：</w:t>
      </w:r>
      <w:r>
        <w:rPr>
          <w:rFonts w:ascii="Times New Roman" w:hAnsi="Times New Roman"/>
          <w:color w:val="auto"/>
          <w:sz w:val="24"/>
          <w:szCs w:val="24"/>
          <w:highlight w:val="none"/>
          <w:u w:val="single"/>
          <w:shd w:val="clear" w:color="auto" w:fill="FFFFFF"/>
          <w:lang w:bidi="ar"/>
        </w:rPr>
        <w:t xml:space="preserve">                     </w:t>
      </w:r>
      <w:r>
        <w:rPr>
          <w:rFonts w:ascii="Times New Roman" w:hAnsi="Times New Roman"/>
          <w:color w:val="auto"/>
          <w:sz w:val="24"/>
          <w:szCs w:val="24"/>
          <w:highlight w:val="none"/>
          <w:shd w:val="clear" w:color="auto" w:fill="FFFFFF"/>
          <w:lang w:bidi="ar"/>
        </w:rPr>
        <w:t>(</w:t>
      </w:r>
      <w:r>
        <w:rPr>
          <w:rFonts w:hint="eastAsia" w:ascii="Times New Roman" w:hAnsi="Times New Roman"/>
          <w:color w:val="auto"/>
          <w:sz w:val="24"/>
          <w:szCs w:val="24"/>
          <w:highlight w:val="none"/>
          <w:shd w:val="clear" w:color="auto" w:fill="FFFFFF"/>
          <w:lang w:bidi="ar"/>
        </w:rPr>
        <w:t>电子签章</w:t>
      </w:r>
      <w:r>
        <w:rPr>
          <w:rFonts w:ascii="Times New Roman" w:hAnsi="Times New Roman"/>
          <w:color w:val="auto"/>
          <w:sz w:val="24"/>
          <w:szCs w:val="24"/>
          <w:highlight w:val="none"/>
          <w:shd w:val="clear" w:color="auto" w:fill="FFFFFF"/>
          <w:lang w:bidi="ar"/>
        </w:rPr>
        <w:t xml:space="preserve">) </w:t>
      </w:r>
    </w:p>
    <w:p w14:paraId="6BB985C8">
      <w:pPr>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法定代表人</w:t>
      </w:r>
      <w:r>
        <w:rPr>
          <w:rFonts w:ascii="Times New Roman" w:hAnsi="Times New Roman"/>
          <w:color w:val="auto"/>
          <w:sz w:val="24"/>
          <w:szCs w:val="24"/>
          <w:highlight w:val="none"/>
          <w:shd w:val="clear" w:color="auto" w:fill="FFFFFF"/>
          <w:lang w:bidi="ar"/>
        </w:rPr>
        <w:t xml:space="preserve"> </w:t>
      </w:r>
      <w:r>
        <w:rPr>
          <w:rFonts w:hint="eastAsia" w:ascii="Times New Roman" w:hAnsi="Times New Roman"/>
          <w:color w:val="auto"/>
          <w:sz w:val="24"/>
          <w:szCs w:val="24"/>
          <w:highlight w:val="none"/>
          <w:shd w:val="clear" w:color="auto" w:fill="FFFFFF"/>
          <w:lang w:bidi="ar"/>
        </w:rPr>
        <w:t>：</w:t>
      </w:r>
      <w:r>
        <w:rPr>
          <w:rFonts w:ascii="Times New Roman" w:hAnsi="Times New Roman"/>
          <w:color w:val="auto"/>
          <w:sz w:val="24"/>
          <w:szCs w:val="24"/>
          <w:highlight w:val="none"/>
          <w:u w:val="single"/>
          <w:shd w:val="clear" w:color="auto" w:fill="FFFFFF"/>
          <w:lang w:bidi="ar"/>
        </w:rPr>
        <w:t xml:space="preserve">        </w:t>
      </w:r>
      <w:r>
        <w:rPr>
          <w:rFonts w:ascii="Times New Roman" w:hAnsi="Times New Roman"/>
          <w:color w:val="auto"/>
          <w:sz w:val="24"/>
          <w:szCs w:val="24"/>
          <w:highlight w:val="none"/>
          <w:shd w:val="clear" w:color="auto" w:fill="FFFFFF"/>
          <w:lang w:bidi="ar"/>
        </w:rPr>
        <w:t>(</w:t>
      </w:r>
      <w:r>
        <w:rPr>
          <w:rFonts w:hint="eastAsia" w:ascii="Times New Roman" w:hAnsi="Times New Roman"/>
          <w:color w:val="auto"/>
          <w:sz w:val="24"/>
          <w:szCs w:val="24"/>
          <w:highlight w:val="none"/>
          <w:shd w:val="clear" w:color="auto" w:fill="FFFFFF"/>
          <w:lang w:bidi="ar"/>
        </w:rPr>
        <w:t>法定代表人电子签章</w:t>
      </w:r>
      <w:r>
        <w:rPr>
          <w:rFonts w:ascii="Times New Roman" w:hAnsi="Times New Roman"/>
          <w:color w:val="auto"/>
          <w:sz w:val="24"/>
          <w:szCs w:val="24"/>
          <w:highlight w:val="none"/>
          <w:shd w:val="clear" w:color="auto" w:fill="FFFFFF"/>
          <w:lang w:bidi="ar"/>
        </w:rPr>
        <w:t xml:space="preserve">) </w:t>
      </w:r>
    </w:p>
    <w:p w14:paraId="0AC68E88">
      <w:pPr>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地址：</w:t>
      </w:r>
    </w:p>
    <w:p w14:paraId="023E8015">
      <w:pPr>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开户银行：</w:t>
      </w:r>
      <w:r>
        <w:rPr>
          <w:rFonts w:ascii="Times New Roman" w:hAnsi="Times New Roman"/>
          <w:color w:val="auto"/>
          <w:sz w:val="24"/>
          <w:szCs w:val="24"/>
          <w:highlight w:val="none"/>
          <w:shd w:val="clear" w:color="auto" w:fill="FFFFFF"/>
          <w:lang w:bidi="ar"/>
        </w:rPr>
        <w:t xml:space="preserve">                        </w:t>
      </w:r>
    </w:p>
    <w:p w14:paraId="7DAB6A62">
      <w:pPr>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开户名称：</w:t>
      </w:r>
      <w:r>
        <w:rPr>
          <w:rFonts w:ascii="Times New Roman" w:hAnsi="Times New Roman"/>
          <w:color w:val="auto"/>
          <w:sz w:val="24"/>
          <w:szCs w:val="24"/>
          <w:highlight w:val="none"/>
          <w:shd w:val="clear" w:color="auto" w:fill="FFFFFF"/>
          <w:lang w:bidi="ar"/>
        </w:rPr>
        <w:t xml:space="preserve">                        </w:t>
      </w:r>
    </w:p>
    <w:p w14:paraId="0BF345DA">
      <w:pPr>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开户账号：</w:t>
      </w:r>
      <w:r>
        <w:rPr>
          <w:rFonts w:ascii="Times New Roman" w:hAnsi="Times New Roman"/>
          <w:color w:val="auto"/>
          <w:sz w:val="24"/>
          <w:szCs w:val="24"/>
          <w:highlight w:val="none"/>
          <w:shd w:val="clear" w:color="auto" w:fill="FFFFFF"/>
          <w:lang w:bidi="ar"/>
        </w:rPr>
        <w:t xml:space="preserve">                        </w:t>
      </w:r>
    </w:p>
    <w:p w14:paraId="403A3743">
      <w:pPr>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邮编：</w:t>
      </w:r>
    </w:p>
    <w:p w14:paraId="509307F6">
      <w:pPr>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电话：</w:t>
      </w:r>
    </w:p>
    <w:p w14:paraId="616E9C7E">
      <w:pPr>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日期：</w:t>
      </w:r>
      <w:r>
        <w:rPr>
          <w:rFonts w:ascii="Times New Roman" w:hAnsi="Times New Roman"/>
          <w:color w:val="auto"/>
          <w:sz w:val="24"/>
          <w:szCs w:val="24"/>
          <w:highlight w:val="none"/>
          <w:u w:val="single"/>
          <w:shd w:val="clear" w:color="auto" w:fill="FFFFFF"/>
          <w:lang w:bidi="ar"/>
        </w:rPr>
        <w:t xml:space="preserve">         </w:t>
      </w:r>
      <w:r>
        <w:rPr>
          <w:rFonts w:hint="eastAsia" w:ascii="Times New Roman" w:hAnsi="Times New Roman"/>
          <w:color w:val="auto"/>
          <w:sz w:val="24"/>
          <w:szCs w:val="24"/>
          <w:highlight w:val="none"/>
          <w:shd w:val="clear" w:color="auto" w:fill="FFFFFF"/>
          <w:lang w:bidi="ar"/>
        </w:rPr>
        <w:t>年</w:t>
      </w:r>
      <w:r>
        <w:rPr>
          <w:rFonts w:ascii="Times New Roman" w:hAnsi="Times New Roman"/>
          <w:color w:val="auto"/>
          <w:sz w:val="24"/>
          <w:szCs w:val="24"/>
          <w:highlight w:val="none"/>
          <w:shd w:val="clear" w:color="auto" w:fill="FFFFFF"/>
          <w:lang w:bidi="ar"/>
        </w:rPr>
        <w:t xml:space="preserve"> </w:t>
      </w:r>
      <w:r>
        <w:rPr>
          <w:rFonts w:ascii="Times New Roman" w:hAnsi="Times New Roman"/>
          <w:color w:val="auto"/>
          <w:sz w:val="24"/>
          <w:szCs w:val="24"/>
          <w:highlight w:val="none"/>
          <w:u w:val="single"/>
          <w:shd w:val="clear" w:color="auto" w:fill="FFFFFF"/>
          <w:lang w:bidi="ar"/>
        </w:rPr>
        <w:t xml:space="preserve">    </w:t>
      </w:r>
      <w:r>
        <w:rPr>
          <w:rFonts w:hint="eastAsia" w:ascii="Times New Roman" w:hAnsi="Times New Roman"/>
          <w:color w:val="auto"/>
          <w:sz w:val="24"/>
          <w:szCs w:val="24"/>
          <w:highlight w:val="none"/>
          <w:shd w:val="clear" w:color="auto" w:fill="FFFFFF"/>
          <w:lang w:bidi="ar"/>
        </w:rPr>
        <w:t>月</w:t>
      </w:r>
      <w:r>
        <w:rPr>
          <w:rFonts w:ascii="Times New Roman" w:hAnsi="Times New Roman"/>
          <w:color w:val="auto"/>
          <w:sz w:val="24"/>
          <w:szCs w:val="24"/>
          <w:highlight w:val="none"/>
          <w:u w:val="single"/>
          <w:shd w:val="clear" w:color="auto" w:fill="FFFFFF"/>
          <w:lang w:bidi="ar"/>
        </w:rPr>
        <w:t xml:space="preserve">    </w:t>
      </w:r>
      <w:r>
        <w:rPr>
          <w:rFonts w:hint="eastAsia" w:ascii="Times New Roman" w:hAnsi="Times New Roman"/>
          <w:color w:val="auto"/>
          <w:sz w:val="24"/>
          <w:szCs w:val="24"/>
          <w:highlight w:val="none"/>
          <w:shd w:val="clear" w:color="auto" w:fill="FFFFFF"/>
          <w:lang w:bidi="ar"/>
        </w:rPr>
        <w:t>日</w:t>
      </w:r>
    </w:p>
    <w:p w14:paraId="7363DE5E">
      <w:pPr>
        <w:spacing w:before="53" w:line="360" w:lineRule="auto"/>
        <w:jc w:val="center"/>
        <w:outlineLvl w:val="2"/>
        <w:rPr>
          <w:rFonts w:ascii="Times New Roman" w:hAnsi="Times New Roman"/>
          <w:b/>
          <w:bCs/>
          <w:color w:val="auto"/>
          <w:sz w:val="24"/>
          <w:szCs w:val="30"/>
          <w:highlight w:val="none"/>
          <w:lang w:val="zh-CN" w:bidi="zh-CN"/>
        </w:rPr>
      </w:pPr>
      <w:bookmarkStart w:id="481" w:name="_Toc151210167"/>
      <w:bookmarkStart w:id="482" w:name="_Toc176358375"/>
      <w:r>
        <w:rPr>
          <w:rFonts w:hint="eastAsia" w:ascii="Times New Roman" w:hAnsi="Times New Roman"/>
          <w:color w:val="auto"/>
          <w:sz w:val="24"/>
          <w:szCs w:val="24"/>
          <w:highlight w:val="none"/>
          <w:shd w:val="clear" w:color="auto" w:fill="FFFFFF"/>
          <w:lang w:val="zh-CN" w:bidi="ar"/>
        </w:rPr>
        <w:br w:type="page"/>
      </w:r>
      <w:r>
        <w:rPr>
          <w:rFonts w:hint="eastAsia" w:ascii="Times New Roman" w:hAnsi="Times New Roman"/>
          <w:b/>
          <w:bCs/>
          <w:color w:val="auto"/>
          <w:sz w:val="24"/>
          <w:szCs w:val="30"/>
          <w:highlight w:val="none"/>
          <w:lang w:bidi="zh-CN"/>
        </w:rPr>
        <w:t>二、</w:t>
      </w:r>
      <w:r>
        <w:rPr>
          <w:rFonts w:hint="eastAsia" w:ascii="Times New Roman" w:hAnsi="Times New Roman"/>
          <w:b/>
          <w:bCs/>
          <w:color w:val="auto"/>
          <w:sz w:val="24"/>
          <w:szCs w:val="30"/>
          <w:highlight w:val="none"/>
          <w:lang w:val="zh-CN" w:bidi="zh-CN"/>
        </w:rPr>
        <w:t>投标函附录</w:t>
      </w:r>
      <w:bookmarkEnd w:id="481"/>
      <w:bookmarkEnd w:id="482"/>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2"/>
        <w:gridCol w:w="6604"/>
      </w:tblGrid>
      <w:tr w14:paraId="4EB7E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2012" w:type="dxa"/>
            <w:vAlign w:val="center"/>
          </w:tcPr>
          <w:p w14:paraId="430E53E6">
            <w:pPr>
              <w:spacing w:line="500" w:lineRule="exact"/>
              <w:jc w:val="center"/>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项目名称</w:t>
            </w:r>
          </w:p>
        </w:tc>
        <w:tc>
          <w:tcPr>
            <w:tcW w:w="6604" w:type="dxa"/>
            <w:vAlign w:val="center"/>
          </w:tcPr>
          <w:p w14:paraId="5CB08936">
            <w:pPr>
              <w:spacing w:line="500" w:lineRule="exact"/>
              <w:jc w:val="center"/>
              <w:rPr>
                <w:rFonts w:ascii="Times New Roman" w:hAnsi="Times New Roman"/>
                <w:color w:val="auto"/>
                <w:sz w:val="24"/>
                <w:szCs w:val="24"/>
                <w:highlight w:val="none"/>
                <w:shd w:val="clear" w:color="auto" w:fill="FFFFFF"/>
                <w:lang w:bidi="ar"/>
              </w:rPr>
            </w:pPr>
          </w:p>
        </w:tc>
      </w:tr>
      <w:tr w14:paraId="583E9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2012" w:type="dxa"/>
            <w:vAlign w:val="center"/>
          </w:tcPr>
          <w:p w14:paraId="0D676312">
            <w:pPr>
              <w:spacing w:line="500" w:lineRule="exact"/>
              <w:jc w:val="center"/>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项目负责人及联系方式（手机）</w:t>
            </w:r>
          </w:p>
        </w:tc>
        <w:tc>
          <w:tcPr>
            <w:tcW w:w="6604" w:type="dxa"/>
            <w:vAlign w:val="center"/>
          </w:tcPr>
          <w:p w14:paraId="430C8185">
            <w:pPr>
              <w:spacing w:line="500" w:lineRule="exact"/>
              <w:ind w:firstLine="480" w:firstLineChars="200"/>
              <w:jc w:val="center"/>
              <w:rPr>
                <w:rFonts w:ascii="Times New Roman" w:hAnsi="Times New Roman"/>
                <w:color w:val="auto"/>
                <w:sz w:val="24"/>
                <w:szCs w:val="24"/>
                <w:highlight w:val="none"/>
                <w:shd w:val="clear" w:color="auto" w:fill="FFFFFF"/>
                <w:lang w:bidi="ar"/>
              </w:rPr>
            </w:pPr>
          </w:p>
        </w:tc>
      </w:tr>
      <w:tr w14:paraId="312FB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012" w:type="dxa"/>
            <w:vAlign w:val="center"/>
          </w:tcPr>
          <w:p w14:paraId="07E5E59A">
            <w:pPr>
              <w:spacing w:line="500" w:lineRule="exact"/>
              <w:jc w:val="center"/>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供应商名称</w:t>
            </w:r>
          </w:p>
        </w:tc>
        <w:tc>
          <w:tcPr>
            <w:tcW w:w="6604" w:type="dxa"/>
            <w:vAlign w:val="center"/>
          </w:tcPr>
          <w:p w14:paraId="660C128D">
            <w:pPr>
              <w:spacing w:line="500" w:lineRule="exact"/>
              <w:ind w:firstLine="480" w:firstLineChars="200"/>
              <w:jc w:val="center"/>
              <w:rPr>
                <w:rFonts w:ascii="Times New Roman" w:hAnsi="Times New Roman"/>
                <w:color w:val="auto"/>
                <w:sz w:val="24"/>
                <w:szCs w:val="24"/>
                <w:highlight w:val="none"/>
                <w:shd w:val="clear" w:color="auto" w:fill="FFFFFF"/>
                <w:lang w:bidi="ar"/>
              </w:rPr>
            </w:pPr>
          </w:p>
        </w:tc>
      </w:tr>
      <w:tr w14:paraId="6358C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2012" w:type="dxa"/>
            <w:vAlign w:val="center"/>
          </w:tcPr>
          <w:p w14:paraId="4D7908EF">
            <w:pPr>
              <w:spacing w:line="500" w:lineRule="exact"/>
              <w:jc w:val="center"/>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投标报价</w:t>
            </w:r>
          </w:p>
        </w:tc>
        <w:tc>
          <w:tcPr>
            <w:tcW w:w="6604" w:type="dxa"/>
            <w:vAlign w:val="center"/>
          </w:tcPr>
          <w:p w14:paraId="50DDF96B">
            <w:pPr>
              <w:spacing w:line="500" w:lineRule="exact"/>
              <w:ind w:firstLine="200"/>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人民币（大写）：</w:t>
            </w:r>
          </w:p>
          <w:p w14:paraId="4B06958C">
            <w:pPr>
              <w:spacing w:line="500" w:lineRule="exact"/>
              <w:ind w:firstLine="960" w:firstLineChars="400"/>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（小写）：</w:t>
            </w:r>
          </w:p>
        </w:tc>
      </w:tr>
      <w:tr w14:paraId="47590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2012" w:type="dxa"/>
            <w:vAlign w:val="center"/>
          </w:tcPr>
          <w:p w14:paraId="7B713C05">
            <w:pPr>
              <w:spacing w:line="500" w:lineRule="exact"/>
              <w:jc w:val="center"/>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质量要求</w:t>
            </w:r>
          </w:p>
        </w:tc>
        <w:tc>
          <w:tcPr>
            <w:tcW w:w="6604" w:type="dxa"/>
            <w:vAlign w:val="center"/>
          </w:tcPr>
          <w:p w14:paraId="12B36746">
            <w:pPr>
              <w:spacing w:line="500" w:lineRule="exact"/>
              <w:ind w:firstLine="480" w:firstLineChars="200"/>
              <w:jc w:val="center"/>
              <w:rPr>
                <w:rFonts w:ascii="Times New Roman" w:hAnsi="Times New Roman"/>
                <w:color w:val="auto"/>
                <w:sz w:val="24"/>
                <w:szCs w:val="24"/>
                <w:highlight w:val="none"/>
                <w:shd w:val="clear" w:color="auto" w:fill="FFFFFF"/>
                <w:lang w:bidi="ar"/>
              </w:rPr>
            </w:pPr>
          </w:p>
        </w:tc>
      </w:tr>
      <w:tr w14:paraId="7B77C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2012" w:type="dxa"/>
            <w:vAlign w:val="center"/>
          </w:tcPr>
          <w:p w14:paraId="47005A14">
            <w:pPr>
              <w:spacing w:line="500" w:lineRule="exact"/>
              <w:jc w:val="center"/>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合同履行期限</w:t>
            </w:r>
          </w:p>
          <w:p w14:paraId="695D1EB0">
            <w:pPr>
              <w:spacing w:line="500" w:lineRule="exact"/>
              <w:jc w:val="center"/>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（交货期）</w:t>
            </w:r>
          </w:p>
        </w:tc>
        <w:tc>
          <w:tcPr>
            <w:tcW w:w="6604" w:type="dxa"/>
            <w:vAlign w:val="center"/>
          </w:tcPr>
          <w:p w14:paraId="024B3A2D">
            <w:pPr>
              <w:spacing w:line="500" w:lineRule="exact"/>
              <w:ind w:firstLine="480" w:firstLineChars="200"/>
              <w:jc w:val="center"/>
              <w:rPr>
                <w:rFonts w:ascii="Times New Roman" w:hAnsi="Times New Roman"/>
                <w:color w:val="auto"/>
                <w:sz w:val="24"/>
                <w:szCs w:val="24"/>
                <w:highlight w:val="none"/>
                <w:shd w:val="clear" w:color="auto" w:fill="FFFFFF"/>
                <w:lang w:bidi="ar"/>
              </w:rPr>
            </w:pPr>
          </w:p>
        </w:tc>
      </w:tr>
      <w:tr w14:paraId="02266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012" w:type="dxa"/>
            <w:vAlign w:val="center"/>
          </w:tcPr>
          <w:p w14:paraId="023D3C5B">
            <w:pPr>
              <w:spacing w:line="500" w:lineRule="exact"/>
              <w:jc w:val="center"/>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质保期</w:t>
            </w:r>
          </w:p>
        </w:tc>
        <w:tc>
          <w:tcPr>
            <w:tcW w:w="6604" w:type="dxa"/>
            <w:vAlign w:val="center"/>
          </w:tcPr>
          <w:p w14:paraId="6AC9DEA1">
            <w:pPr>
              <w:spacing w:line="500" w:lineRule="exact"/>
              <w:ind w:firstLine="480" w:firstLineChars="200"/>
              <w:jc w:val="center"/>
              <w:rPr>
                <w:rFonts w:ascii="Times New Roman" w:hAnsi="Times New Roman"/>
                <w:color w:val="auto"/>
                <w:sz w:val="24"/>
                <w:szCs w:val="24"/>
                <w:highlight w:val="none"/>
                <w:shd w:val="clear" w:color="auto" w:fill="FFFFFF"/>
                <w:lang w:bidi="ar"/>
              </w:rPr>
            </w:pPr>
          </w:p>
        </w:tc>
      </w:tr>
      <w:tr w14:paraId="69A81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2012" w:type="dxa"/>
            <w:vAlign w:val="center"/>
          </w:tcPr>
          <w:p w14:paraId="542F7286">
            <w:pPr>
              <w:spacing w:line="500" w:lineRule="exact"/>
              <w:jc w:val="center"/>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投标有效期</w:t>
            </w:r>
          </w:p>
        </w:tc>
        <w:tc>
          <w:tcPr>
            <w:tcW w:w="6604" w:type="dxa"/>
            <w:vAlign w:val="center"/>
          </w:tcPr>
          <w:p w14:paraId="4A0B64EF">
            <w:pPr>
              <w:spacing w:line="500" w:lineRule="exact"/>
              <w:ind w:firstLine="199" w:firstLineChars="83"/>
              <w:jc w:val="left"/>
              <w:rPr>
                <w:rFonts w:ascii="Times New Roman" w:hAnsi="Times New Roman"/>
                <w:color w:val="auto"/>
                <w:sz w:val="24"/>
                <w:szCs w:val="24"/>
                <w:highlight w:val="none"/>
                <w:shd w:val="clear" w:color="auto" w:fill="FFFFFF"/>
                <w:lang w:bidi="ar"/>
              </w:rPr>
            </w:pPr>
          </w:p>
        </w:tc>
      </w:tr>
      <w:tr w14:paraId="6002C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2012" w:type="dxa"/>
            <w:vAlign w:val="center"/>
          </w:tcPr>
          <w:p w14:paraId="4D84A5C5">
            <w:pPr>
              <w:spacing w:line="500" w:lineRule="exact"/>
              <w:jc w:val="center"/>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备</w:t>
            </w:r>
            <w:r>
              <w:rPr>
                <w:rFonts w:ascii="Times New Roman" w:hAnsi="Times New Roman"/>
                <w:color w:val="auto"/>
                <w:sz w:val="24"/>
                <w:szCs w:val="24"/>
                <w:highlight w:val="none"/>
                <w:shd w:val="clear" w:color="auto" w:fill="FFFFFF"/>
                <w:lang w:bidi="ar"/>
              </w:rPr>
              <w:tab/>
            </w:r>
            <w:r>
              <w:rPr>
                <w:rFonts w:hint="eastAsia" w:ascii="Times New Roman" w:hAnsi="Times New Roman"/>
                <w:color w:val="auto"/>
                <w:sz w:val="24"/>
                <w:szCs w:val="24"/>
                <w:highlight w:val="none"/>
                <w:shd w:val="clear" w:color="auto" w:fill="FFFFFF"/>
                <w:lang w:bidi="ar"/>
              </w:rPr>
              <w:t>注</w:t>
            </w:r>
          </w:p>
        </w:tc>
        <w:tc>
          <w:tcPr>
            <w:tcW w:w="6604" w:type="dxa"/>
            <w:vAlign w:val="center"/>
          </w:tcPr>
          <w:p w14:paraId="37C5A75B">
            <w:pPr>
              <w:spacing w:line="500" w:lineRule="exact"/>
              <w:ind w:firstLine="480" w:firstLineChars="200"/>
              <w:jc w:val="center"/>
              <w:rPr>
                <w:rFonts w:ascii="Times New Roman" w:hAnsi="Times New Roman"/>
                <w:color w:val="auto"/>
                <w:sz w:val="24"/>
                <w:szCs w:val="24"/>
                <w:highlight w:val="none"/>
                <w:shd w:val="clear" w:color="auto" w:fill="FFFFFF"/>
                <w:lang w:bidi="ar"/>
              </w:rPr>
            </w:pPr>
          </w:p>
        </w:tc>
      </w:tr>
    </w:tbl>
    <w:p w14:paraId="393D771D">
      <w:pPr>
        <w:spacing w:line="460" w:lineRule="exac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供应商：</w:t>
      </w:r>
      <w:r>
        <w:rPr>
          <w:rFonts w:ascii="Times New Roman" w:hAnsi="Times New Roman"/>
          <w:color w:val="auto"/>
          <w:sz w:val="24"/>
          <w:szCs w:val="24"/>
          <w:highlight w:val="none"/>
          <w:u w:val="single"/>
          <w:shd w:val="clear" w:color="auto" w:fill="FFFFFF"/>
          <w:lang w:bidi="ar"/>
        </w:rPr>
        <w:t xml:space="preserve">                     </w:t>
      </w:r>
      <w:r>
        <w:rPr>
          <w:rFonts w:ascii="Times New Roman" w:hAnsi="Times New Roman"/>
          <w:color w:val="auto"/>
          <w:sz w:val="24"/>
          <w:szCs w:val="24"/>
          <w:highlight w:val="none"/>
          <w:shd w:val="clear" w:color="auto" w:fill="FFFFFF"/>
          <w:lang w:bidi="ar"/>
        </w:rPr>
        <w:t>(</w:t>
      </w:r>
      <w:r>
        <w:rPr>
          <w:rFonts w:hint="eastAsia" w:ascii="Times New Roman" w:hAnsi="Times New Roman"/>
          <w:color w:val="auto"/>
          <w:sz w:val="24"/>
          <w:szCs w:val="24"/>
          <w:highlight w:val="none"/>
          <w:shd w:val="clear" w:color="auto" w:fill="FFFFFF"/>
          <w:lang w:bidi="ar"/>
        </w:rPr>
        <w:t>电子签章</w:t>
      </w:r>
      <w:r>
        <w:rPr>
          <w:rFonts w:ascii="Times New Roman" w:hAnsi="Times New Roman"/>
          <w:color w:val="auto"/>
          <w:sz w:val="24"/>
          <w:szCs w:val="24"/>
          <w:highlight w:val="none"/>
          <w:shd w:val="clear" w:color="auto" w:fill="FFFFFF"/>
          <w:lang w:bidi="ar"/>
        </w:rPr>
        <w:t xml:space="preserve">) </w:t>
      </w:r>
    </w:p>
    <w:p w14:paraId="219A220D">
      <w:pPr>
        <w:spacing w:line="460" w:lineRule="exac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法定代表人</w:t>
      </w:r>
      <w:r>
        <w:rPr>
          <w:rFonts w:ascii="Times New Roman" w:hAnsi="Times New Roman"/>
          <w:color w:val="auto"/>
          <w:sz w:val="24"/>
          <w:szCs w:val="24"/>
          <w:highlight w:val="none"/>
          <w:shd w:val="clear" w:color="auto" w:fill="FFFFFF"/>
          <w:lang w:bidi="ar"/>
        </w:rPr>
        <w:t xml:space="preserve"> </w:t>
      </w:r>
      <w:r>
        <w:rPr>
          <w:rFonts w:hint="eastAsia" w:ascii="Times New Roman" w:hAnsi="Times New Roman"/>
          <w:color w:val="auto"/>
          <w:sz w:val="24"/>
          <w:szCs w:val="24"/>
          <w:highlight w:val="none"/>
          <w:shd w:val="clear" w:color="auto" w:fill="FFFFFF"/>
          <w:lang w:bidi="ar"/>
        </w:rPr>
        <w:t>：</w:t>
      </w:r>
      <w:r>
        <w:rPr>
          <w:rFonts w:ascii="Times New Roman" w:hAnsi="Times New Roman"/>
          <w:color w:val="auto"/>
          <w:sz w:val="24"/>
          <w:szCs w:val="24"/>
          <w:highlight w:val="none"/>
          <w:u w:val="single"/>
          <w:shd w:val="clear" w:color="auto" w:fill="FFFFFF"/>
          <w:lang w:bidi="ar"/>
        </w:rPr>
        <w:t xml:space="preserve">        </w:t>
      </w:r>
      <w:r>
        <w:rPr>
          <w:rFonts w:ascii="Times New Roman" w:hAnsi="Times New Roman"/>
          <w:color w:val="auto"/>
          <w:sz w:val="24"/>
          <w:szCs w:val="24"/>
          <w:highlight w:val="none"/>
          <w:shd w:val="clear" w:color="auto" w:fill="FFFFFF"/>
          <w:lang w:bidi="ar"/>
        </w:rPr>
        <w:t>(</w:t>
      </w:r>
      <w:r>
        <w:rPr>
          <w:rFonts w:hint="eastAsia" w:ascii="Times New Roman" w:hAnsi="Times New Roman"/>
          <w:color w:val="auto"/>
          <w:sz w:val="24"/>
          <w:szCs w:val="24"/>
          <w:highlight w:val="none"/>
          <w:shd w:val="clear" w:color="auto" w:fill="FFFFFF"/>
          <w:lang w:bidi="ar"/>
        </w:rPr>
        <w:t>法定代表人电子签章</w:t>
      </w:r>
      <w:r>
        <w:rPr>
          <w:rFonts w:ascii="Times New Roman" w:hAnsi="Times New Roman"/>
          <w:color w:val="auto"/>
          <w:sz w:val="24"/>
          <w:szCs w:val="24"/>
          <w:highlight w:val="none"/>
          <w:shd w:val="clear" w:color="auto" w:fill="FFFFFF"/>
          <w:lang w:bidi="ar"/>
        </w:rPr>
        <w:t xml:space="preserve">) </w:t>
      </w:r>
    </w:p>
    <w:p w14:paraId="21BB1175">
      <w:pPr>
        <w:spacing w:line="460" w:lineRule="exac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日</w:t>
      </w:r>
      <w:r>
        <w:rPr>
          <w:rFonts w:ascii="Times New Roman" w:hAnsi="Times New Roman"/>
          <w:color w:val="auto"/>
          <w:sz w:val="24"/>
          <w:szCs w:val="24"/>
          <w:highlight w:val="none"/>
          <w:shd w:val="clear" w:color="auto" w:fill="FFFFFF"/>
          <w:lang w:bidi="ar"/>
        </w:rPr>
        <w:t xml:space="preserve">       </w:t>
      </w:r>
      <w:r>
        <w:rPr>
          <w:rFonts w:hint="eastAsia" w:ascii="Times New Roman" w:hAnsi="Times New Roman"/>
          <w:color w:val="auto"/>
          <w:sz w:val="24"/>
          <w:szCs w:val="24"/>
          <w:highlight w:val="none"/>
          <w:shd w:val="clear" w:color="auto" w:fill="FFFFFF"/>
          <w:lang w:bidi="ar"/>
        </w:rPr>
        <w:t>期：</w:t>
      </w:r>
      <w:r>
        <w:rPr>
          <w:rFonts w:ascii="Times New Roman" w:hAnsi="Times New Roman"/>
          <w:color w:val="auto"/>
          <w:sz w:val="24"/>
          <w:szCs w:val="24"/>
          <w:highlight w:val="none"/>
          <w:u w:val="single"/>
          <w:shd w:val="clear" w:color="auto" w:fill="FFFFFF"/>
          <w:lang w:bidi="ar"/>
        </w:rPr>
        <w:t xml:space="preserve">         </w:t>
      </w:r>
      <w:r>
        <w:rPr>
          <w:rFonts w:hint="eastAsia" w:ascii="Times New Roman" w:hAnsi="Times New Roman"/>
          <w:color w:val="auto"/>
          <w:sz w:val="24"/>
          <w:szCs w:val="24"/>
          <w:highlight w:val="none"/>
          <w:shd w:val="clear" w:color="auto" w:fill="FFFFFF"/>
          <w:lang w:bidi="ar"/>
        </w:rPr>
        <w:t>年</w:t>
      </w:r>
      <w:r>
        <w:rPr>
          <w:rFonts w:ascii="Times New Roman" w:hAnsi="Times New Roman"/>
          <w:color w:val="auto"/>
          <w:sz w:val="24"/>
          <w:szCs w:val="24"/>
          <w:highlight w:val="none"/>
          <w:shd w:val="clear" w:color="auto" w:fill="FFFFFF"/>
          <w:lang w:bidi="ar"/>
        </w:rPr>
        <w:t xml:space="preserve"> </w:t>
      </w:r>
      <w:r>
        <w:rPr>
          <w:rFonts w:ascii="Times New Roman" w:hAnsi="Times New Roman"/>
          <w:color w:val="auto"/>
          <w:sz w:val="24"/>
          <w:szCs w:val="24"/>
          <w:highlight w:val="none"/>
          <w:u w:val="single"/>
          <w:shd w:val="clear" w:color="auto" w:fill="FFFFFF"/>
          <w:lang w:bidi="ar"/>
        </w:rPr>
        <w:t xml:space="preserve">    </w:t>
      </w:r>
      <w:r>
        <w:rPr>
          <w:rFonts w:hint="eastAsia" w:ascii="Times New Roman" w:hAnsi="Times New Roman"/>
          <w:color w:val="auto"/>
          <w:sz w:val="24"/>
          <w:szCs w:val="24"/>
          <w:highlight w:val="none"/>
          <w:shd w:val="clear" w:color="auto" w:fill="FFFFFF"/>
          <w:lang w:bidi="ar"/>
        </w:rPr>
        <w:t>月</w:t>
      </w:r>
      <w:r>
        <w:rPr>
          <w:rFonts w:ascii="Times New Roman" w:hAnsi="Times New Roman"/>
          <w:color w:val="auto"/>
          <w:sz w:val="24"/>
          <w:szCs w:val="24"/>
          <w:highlight w:val="none"/>
          <w:u w:val="single"/>
          <w:shd w:val="clear" w:color="auto" w:fill="FFFFFF"/>
          <w:lang w:bidi="ar"/>
        </w:rPr>
        <w:t xml:space="preserve">    </w:t>
      </w:r>
      <w:r>
        <w:rPr>
          <w:rFonts w:hint="eastAsia" w:ascii="Times New Roman" w:hAnsi="Times New Roman"/>
          <w:color w:val="auto"/>
          <w:sz w:val="24"/>
          <w:szCs w:val="24"/>
          <w:highlight w:val="none"/>
          <w:shd w:val="clear" w:color="auto" w:fill="FFFFFF"/>
          <w:lang w:bidi="ar"/>
        </w:rPr>
        <w:t>日</w:t>
      </w:r>
    </w:p>
    <w:p w14:paraId="290C8A91">
      <w:pPr>
        <w:spacing w:line="517" w:lineRule="exact"/>
        <w:ind w:left="277" w:hanging="277" w:hangingChars="115"/>
        <w:jc w:val="center"/>
        <w:outlineLvl w:val="1"/>
        <w:rPr>
          <w:rFonts w:ascii="Times New Roman" w:hAnsi="Times New Roman"/>
          <w:b/>
          <w:bCs/>
          <w:color w:val="auto"/>
          <w:sz w:val="24"/>
          <w:szCs w:val="32"/>
          <w:highlight w:val="none"/>
          <w:lang w:val="zh-CN" w:bidi="zh-CN"/>
        </w:rPr>
      </w:pPr>
      <w:bookmarkStart w:id="483" w:name="_Toc176358376"/>
      <w:r>
        <w:rPr>
          <w:rFonts w:ascii="Times New Roman" w:hAnsi="Times New Roman"/>
          <w:b/>
          <w:bCs/>
          <w:color w:val="auto"/>
          <w:sz w:val="24"/>
          <w:szCs w:val="32"/>
          <w:highlight w:val="none"/>
          <w:lang w:val="zh-CN" w:bidi="zh-CN"/>
        </w:rPr>
        <w:br w:type="page"/>
      </w:r>
      <w:bookmarkEnd w:id="483"/>
      <w:bookmarkStart w:id="484" w:name="_Toc176358377"/>
      <w:r>
        <w:rPr>
          <w:rFonts w:hint="eastAsia" w:ascii="Times New Roman" w:hAnsi="Times New Roman"/>
          <w:b/>
          <w:bCs/>
          <w:color w:val="auto"/>
          <w:sz w:val="24"/>
          <w:szCs w:val="32"/>
          <w:highlight w:val="none"/>
          <w:lang w:val="zh-CN" w:bidi="zh-CN"/>
        </w:rPr>
        <w:t>三、法定代表人身份证明</w:t>
      </w:r>
      <w:bookmarkEnd w:id="484"/>
    </w:p>
    <w:p w14:paraId="46E6DE91">
      <w:pPr>
        <w:spacing w:line="600" w:lineRule="exact"/>
        <w:rPr>
          <w:rFonts w:ascii="Times New Roman" w:hAnsi="Times New Roman"/>
          <w:color w:val="auto"/>
          <w:sz w:val="24"/>
          <w:szCs w:val="28"/>
          <w:highlight w:val="none"/>
          <w:shd w:val="clear" w:color="auto" w:fill="FFFFFF"/>
          <w:lang w:bidi="ar"/>
        </w:rPr>
      </w:pPr>
    </w:p>
    <w:p w14:paraId="697FF5CF">
      <w:pPr>
        <w:spacing w:line="600" w:lineRule="exact"/>
        <w:ind w:firstLine="566" w:firstLineChars="236"/>
        <w:rPr>
          <w:rFonts w:ascii="Times New Roman" w:hAnsi="Times New Roman"/>
          <w:color w:val="auto"/>
          <w:sz w:val="24"/>
          <w:szCs w:val="24"/>
          <w:highlight w:val="none"/>
          <w:u w:val="single"/>
          <w:shd w:val="clear" w:color="auto" w:fill="FFFFFF"/>
          <w:lang w:bidi="ar"/>
        </w:rPr>
      </w:pPr>
      <w:r>
        <w:rPr>
          <w:rFonts w:hint="eastAsia" w:ascii="Times New Roman" w:hAnsi="Times New Roman"/>
          <w:color w:val="auto"/>
          <w:sz w:val="24"/>
          <w:szCs w:val="24"/>
          <w:highlight w:val="none"/>
          <w:shd w:val="clear" w:color="auto" w:fill="FFFFFF"/>
          <w:lang w:bidi="ar"/>
        </w:rPr>
        <w:t>单位名称：</w:t>
      </w:r>
      <w:r>
        <w:rPr>
          <w:rFonts w:ascii="Times New Roman" w:hAnsi="Times New Roman"/>
          <w:color w:val="auto"/>
          <w:sz w:val="24"/>
          <w:szCs w:val="24"/>
          <w:highlight w:val="none"/>
          <w:u w:val="single"/>
          <w:shd w:val="clear" w:color="auto" w:fill="FFFFFF"/>
          <w:lang w:bidi="ar"/>
        </w:rPr>
        <w:t xml:space="preserve">                                   </w:t>
      </w:r>
    </w:p>
    <w:p w14:paraId="4B077CC6">
      <w:pPr>
        <w:spacing w:line="600" w:lineRule="exact"/>
        <w:ind w:firstLine="566" w:firstLineChars="236"/>
        <w:rPr>
          <w:rFonts w:ascii="Times New Roman" w:hAnsi="Times New Roman"/>
          <w:color w:val="auto"/>
          <w:sz w:val="24"/>
          <w:szCs w:val="24"/>
          <w:highlight w:val="none"/>
          <w:u w:val="single"/>
          <w:shd w:val="clear" w:color="auto" w:fill="FFFFFF"/>
          <w:lang w:bidi="ar"/>
        </w:rPr>
      </w:pPr>
      <w:r>
        <w:rPr>
          <w:rFonts w:hint="eastAsia" w:ascii="Times New Roman" w:hAnsi="Times New Roman"/>
          <w:color w:val="auto"/>
          <w:sz w:val="24"/>
          <w:szCs w:val="24"/>
          <w:highlight w:val="none"/>
          <w:shd w:val="clear" w:color="auto" w:fill="FFFFFF"/>
          <w:lang w:bidi="ar"/>
        </w:rPr>
        <w:t>单位性质：</w:t>
      </w:r>
      <w:r>
        <w:rPr>
          <w:rFonts w:ascii="Times New Roman" w:hAnsi="Times New Roman"/>
          <w:color w:val="auto"/>
          <w:sz w:val="24"/>
          <w:szCs w:val="24"/>
          <w:highlight w:val="none"/>
          <w:u w:val="single"/>
          <w:shd w:val="clear" w:color="auto" w:fill="FFFFFF"/>
          <w:lang w:bidi="ar"/>
        </w:rPr>
        <w:t xml:space="preserve">                                   </w:t>
      </w:r>
    </w:p>
    <w:p w14:paraId="4FB806B4">
      <w:pPr>
        <w:spacing w:line="600" w:lineRule="exact"/>
        <w:ind w:firstLine="566" w:firstLineChars="236"/>
        <w:rPr>
          <w:rFonts w:ascii="Times New Roman" w:hAnsi="Times New Roman"/>
          <w:color w:val="auto"/>
          <w:sz w:val="24"/>
          <w:szCs w:val="24"/>
          <w:highlight w:val="none"/>
          <w:u w:val="single"/>
          <w:shd w:val="clear" w:color="auto" w:fill="FFFFFF"/>
          <w:lang w:bidi="ar"/>
        </w:rPr>
      </w:pPr>
      <w:r>
        <w:rPr>
          <w:rFonts w:hint="eastAsia" w:ascii="Times New Roman" w:hAnsi="Times New Roman"/>
          <w:color w:val="auto"/>
          <w:sz w:val="24"/>
          <w:szCs w:val="24"/>
          <w:highlight w:val="none"/>
          <w:shd w:val="clear" w:color="auto" w:fill="FFFFFF"/>
          <w:lang w:bidi="ar"/>
        </w:rPr>
        <w:t>地址：</w:t>
      </w:r>
      <w:r>
        <w:rPr>
          <w:rFonts w:ascii="Times New Roman" w:hAnsi="Times New Roman"/>
          <w:color w:val="auto"/>
          <w:sz w:val="24"/>
          <w:szCs w:val="24"/>
          <w:highlight w:val="none"/>
          <w:shd w:val="clear" w:color="auto" w:fill="FFFFFF"/>
          <w:lang w:bidi="ar"/>
        </w:rPr>
        <w:t xml:space="preserve"> </w:t>
      </w:r>
      <w:r>
        <w:rPr>
          <w:rFonts w:ascii="Times New Roman" w:hAnsi="Times New Roman"/>
          <w:color w:val="auto"/>
          <w:sz w:val="24"/>
          <w:szCs w:val="24"/>
          <w:highlight w:val="none"/>
          <w:u w:val="single"/>
          <w:shd w:val="clear" w:color="auto" w:fill="FFFFFF"/>
          <w:lang w:bidi="ar"/>
        </w:rPr>
        <w:t xml:space="preserve">                                  </w:t>
      </w:r>
      <w:r>
        <w:rPr>
          <w:rFonts w:ascii="Times New Roman" w:hAnsi="Times New Roman"/>
          <w:color w:val="auto"/>
          <w:sz w:val="24"/>
          <w:szCs w:val="24"/>
          <w:highlight w:val="none"/>
          <w:u w:val="single"/>
          <w:shd w:val="clear" w:color="auto" w:fill="FFFFFF"/>
          <w:lang w:bidi="ar"/>
        </w:rPr>
        <w:tab/>
      </w:r>
      <w:r>
        <w:rPr>
          <w:rFonts w:ascii="Times New Roman" w:hAnsi="Times New Roman"/>
          <w:color w:val="auto"/>
          <w:sz w:val="24"/>
          <w:szCs w:val="24"/>
          <w:highlight w:val="none"/>
          <w:u w:val="single"/>
          <w:shd w:val="clear" w:color="auto" w:fill="FFFFFF"/>
          <w:lang w:bidi="ar"/>
        </w:rPr>
        <w:t xml:space="preserve"> </w:t>
      </w:r>
    </w:p>
    <w:p w14:paraId="6E734351">
      <w:pPr>
        <w:spacing w:line="600" w:lineRule="exact"/>
        <w:ind w:firstLine="566" w:firstLineChars="236"/>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成立时间：</w:t>
      </w:r>
      <w:r>
        <w:rPr>
          <w:rFonts w:ascii="Times New Roman" w:hAnsi="Times New Roman"/>
          <w:color w:val="auto"/>
          <w:sz w:val="24"/>
          <w:szCs w:val="24"/>
          <w:highlight w:val="none"/>
          <w:u w:val="single"/>
          <w:shd w:val="clear" w:color="auto" w:fill="FFFFFF"/>
          <w:lang w:bidi="ar"/>
        </w:rPr>
        <w:t xml:space="preserve">            </w:t>
      </w:r>
      <w:r>
        <w:rPr>
          <w:rFonts w:hint="eastAsia" w:ascii="Times New Roman" w:hAnsi="Times New Roman"/>
          <w:color w:val="auto"/>
          <w:sz w:val="24"/>
          <w:szCs w:val="24"/>
          <w:highlight w:val="none"/>
          <w:shd w:val="clear" w:color="auto" w:fill="FFFFFF"/>
          <w:lang w:bidi="ar"/>
        </w:rPr>
        <w:t>年</w:t>
      </w:r>
      <w:r>
        <w:rPr>
          <w:rFonts w:ascii="Times New Roman" w:hAnsi="Times New Roman"/>
          <w:color w:val="auto"/>
          <w:sz w:val="24"/>
          <w:szCs w:val="24"/>
          <w:highlight w:val="none"/>
          <w:u w:val="single"/>
          <w:shd w:val="clear" w:color="auto" w:fill="FFFFFF"/>
          <w:lang w:bidi="ar"/>
        </w:rPr>
        <w:t xml:space="preserve">        </w:t>
      </w:r>
      <w:r>
        <w:rPr>
          <w:rFonts w:hint="eastAsia" w:ascii="Times New Roman" w:hAnsi="Times New Roman"/>
          <w:color w:val="auto"/>
          <w:sz w:val="24"/>
          <w:szCs w:val="24"/>
          <w:highlight w:val="none"/>
          <w:shd w:val="clear" w:color="auto" w:fill="FFFFFF"/>
          <w:lang w:bidi="ar"/>
        </w:rPr>
        <w:t>月</w:t>
      </w:r>
      <w:r>
        <w:rPr>
          <w:rFonts w:ascii="Times New Roman" w:hAnsi="Times New Roman"/>
          <w:color w:val="auto"/>
          <w:sz w:val="24"/>
          <w:szCs w:val="24"/>
          <w:highlight w:val="none"/>
          <w:u w:val="single"/>
          <w:shd w:val="clear" w:color="auto" w:fill="FFFFFF"/>
          <w:lang w:bidi="ar"/>
        </w:rPr>
        <w:t xml:space="preserve">        </w:t>
      </w:r>
      <w:r>
        <w:rPr>
          <w:rFonts w:hint="eastAsia" w:ascii="Times New Roman" w:hAnsi="Times New Roman"/>
          <w:color w:val="auto"/>
          <w:sz w:val="24"/>
          <w:szCs w:val="24"/>
          <w:highlight w:val="none"/>
          <w:shd w:val="clear" w:color="auto" w:fill="FFFFFF"/>
          <w:lang w:bidi="ar"/>
        </w:rPr>
        <w:t>日</w:t>
      </w:r>
    </w:p>
    <w:p w14:paraId="6256DD25">
      <w:pPr>
        <w:spacing w:line="600" w:lineRule="exact"/>
        <w:ind w:firstLine="566" w:firstLineChars="236"/>
        <w:rPr>
          <w:rFonts w:ascii="Times New Roman" w:hAnsi="Times New Roman"/>
          <w:color w:val="auto"/>
          <w:sz w:val="24"/>
          <w:szCs w:val="24"/>
          <w:highlight w:val="none"/>
          <w:u w:val="single"/>
          <w:shd w:val="clear" w:color="auto" w:fill="FFFFFF"/>
          <w:lang w:bidi="ar"/>
        </w:rPr>
      </w:pPr>
      <w:r>
        <w:rPr>
          <w:rFonts w:hint="eastAsia" w:ascii="Times New Roman" w:hAnsi="Times New Roman"/>
          <w:color w:val="auto"/>
          <w:sz w:val="24"/>
          <w:szCs w:val="24"/>
          <w:highlight w:val="none"/>
          <w:shd w:val="clear" w:color="auto" w:fill="FFFFFF"/>
          <w:lang w:bidi="ar"/>
        </w:rPr>
        <w:t>经营期限：</w:t>
      </w:r>
      <w:r>
        <w:rPr>
          <w:rFonts w:ascii="Times New Roman" w:hAnsi="Times New Roman"/>
          <w:color w:val="auto"/>
          <w:sz w:val="24"/>
          <w:szCs w:val="24"/>
          <w:highlight w:val="none"/>
          <w:u w:val="single"/>
          <w:shd w:val="clear" w:color="auto" w:fill="FFFFFF"/>
          <w:lang w:bidi="ar"/>
        </w:rPr>
        <w:t xml:space="preserve">                               </w:t>
      </w:r>
      <w:r>
        <w:rPr>
          <w:rFonts w:ascii="Times New Roman" w:hAnsi="Times New Roman"/>
          <w:color w:val="auto"/>
          <w:sz w:val="24"/>
          <w:szCs w:val="24"/>
          <w:highlight w:val="none"/>
          <w:u w:val="single"/>
          <w:shd w:val="clear" w:color="auto" w:fill="FFFFFF"/>
          <w:lang w:bidi="ar"/>
        </w:rPr>
        <w:tab/>
      </w:r>
    </w:p>
    <w:p w14:paraId="1B3CBABD">
      <w:pPr>
        <w:spacing w:line="600" w:lineRule="exact"/>
        <w:ind w:firstLine="566" w:firstLineChars="236"/>
        <w:rPr>
          <w:rFonts w:ascii="Times New Roman" w:hAnsi="Times New Roman"/>
          <w:color w:val="auto"/>
          <w:sz w:val="24"/>
          <w:szCs w:val="24"/>
          <w:highlight w:val="none"/>
          <w:u w:val="single"/>
          <w:shd w:val="clear" w:color="auto" w:fill="FFFFFF"/>
          <w:lang w:bidi="ar"/>
        </w:rPr>
      </w:pPr>
      <w:r>
        <w:rPr>
          <w:rFonts w:hint="eastAsia" w:ascii="Times New Roman" w:hAnsi="Times New Roman"/>
          <w:color w:val="auto"/>
          <w:sz w:val="24"/>
          <w:szCs w:val="24"/>
          <w:highlight w:val="none"/>
          <w:shd w:val="clear" w:color="auto" w:fill="FFFFFF"/>
          <w:lang w:bidi="ar"/>
        </w:rPr>
        <w:t>姓</w:t>
      </w:r>
      <w:r>
        <w:rPr>
          <w:rFonts w:ascii="Times New Roman" w:hAnsi="Times New Roman"/>
          <w:color w:val="auto"/>
          <w:sz w:val="24"/>
          <w:szCs w:val="24"/>
          <w:highlight w:val="none"/>
          <w:shd w:val="clear" w:color="auto" w:fill="FFFFFF"/>
          <w:lang w:bidi="ar"/>
        </w:rPr>
        <w:tab/>
      </w:r>
      <w:r>
        <w:rPr>
          <w:rFonts w:hint="eastAsia" w:ascii="Times New Roman" w:hAnsi="Times New Roman"/>
          <w:color w:val="auto"/>
          <w:sz w:val="24"/>
          <w:szCs w:val="24"/>
          <w:highlight w:val="none"/>
          <w:shd w:val="clear" w:color="auto" w:fill="FFFFFF"/>
          <w:lang w:bidi="ar"/>
        </w:rPr>
        <w:t>名：</w:t>
      </w:r>
      <w:r>
        <w:rPr>
          <w:rFonts w:ascii="Times New Roman" w:hAnsi="Times New Roman"/>
          <w:color w:val="auto"/>
          <w:sz w:val="24"/>
          <w:szCs w:val="24"/>
          <w:highlight w:val="none"/>
          <w:u w:val="single"/>
          <w:shd w:val="clear" w:color="auto" w:fill="FFFFFF"/>
          <w:lang w:bidi="ar"/>
        </w:rPr>
        <w:t xml:space="preserve">      </w:t>
      </w:r>
      <w:r>
        <w:rPr>
          <w:rFonts w:hint="eastAsia" w:ascii="Times New Roman" w:hAnsi="Times New Roman"/>
          <w:color w:val="auto"/>
          <w:sz w:val="24"/>
          <w:szCs w:val="24"/>
          <w:highlight w:val="none"/>
          <w:shd w:val="clear" w:color="auto" w:fill="FFFFFF"/>
          <w:lang w:bidi="ar"/>
        </w:rPr>
        <w:t>性别：</w:t>
      </w:r>
      <w:r>
        <w:rPr>
          <w:rFonts w:ascii="Times New Roman" w:hAnsi="Times New Roman"/>
          <w:color w:val="auto"/>
          <w:sz w:val="24"/>
          <w:szCs w:val="24"/>
          <w:highlight w:val="none"/>
          <w:u w:val="single"/>
          <w:shd w:val="clear" w:color="auto" w:fill="FFFFFF"/>
          <w:lang w:bidi="ar"/>
        </w:rPr>
        <w:t xml:space="preserve">      </w:t>
      </w:r>
      <w:r>
        <w:rPr>
          <w:rFonts w:hint="eastAsia" w:ascii="Times New Roman" w:hAnsi="Times New Roman"/>
          <w:color w:val="auto"/>
          <w:sz w:val="24"/>
          <w:szCs w:val="24"/>
          <w:highlight w:val="none"/>
          <w:shd w:val="clear" w:color="auto" w:fill="FFFFFF"/>
          <w:lang w:bidi="ar"/>
        </w:rPr>
        <w:t>年龄：</w:t>
      </w:r>
      <w:r>
        <w:rPr>
          <w:rFonts w:ascii="Times New Roman" w:hAnsi="Times New Roman"/>
          <w:color w:val="auto"/>
          <w:sz w:val="24"/>
          <w:szCs w:val="24"/>
          <w:highlight w:val="none"/>
          <w:u w:val="single"/>
          <w:shd w:val="clear" w:color="auto" w:fill="FFFFFF"/>
          <w:lang w:bidi="ar"/>
        </w:rPr>
        <w:t xml:space="preserve">      </w:t>
      </w:r>
      <w:r>
        <w:rPr>
          <w:rFonts w:hint="eastAsia" w:ascii="Times New Roman" w:hAnsi="Times New Roman"/>
          <w:color w:val="auto"/>
          <w:sz w:val="24"/>
          <w:szCs w:val="24"/>
          <w:highlight w:val="none"/>
          <w:shd w:val="clear" w:color="auto" w:fill="FFFFFF"/>
          <w:lang w:bidi="ar"/>
        </w:rPr>
        <w:t>职务：</w:t>
      </w:r>
      <w:r>
        <w:rPr>
          <w:rFonts w:ascii="Times New Roman" w:hAnsi="Times New Roman"/>
          <w:color w:val="auto"/>
          <w:sz w:val="24"/>
          <w:szCs w:val="24"/>
          <w:highlight w:val="none"/>
          <w:u w:val="single"/>
          <w:shd w:val="clear" w:color="auto" w:fill="FFFFFF"/>
          <w:lang w:bidi="ar"/>
        </w:rPr>
        <w:t xml:space="preserve">    </w:t>
      </w:r>
    </w:p>
    <w:p w14:paraId="27F25024">
      <w:pPr>
        <w:spacing w:line="600" w:lineRule="exact"/>
        <w:ind w:firstLine="566" w:firstLineChars="236"/>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系</w:t>
      </w:r>
      <w:r>
        <w:rPr>
          <w:rFonts w:ascii="Times New Roman" w:hAnsi="Times New Roman"/>
          <w:color w:val="auto"/>
          <w:sz w:val="24"/>
          <w:szCs w:val="24"/>
          <w:highlight w:val="none"/>
          <w:u w:val="single"/>
          <w:shd w:val="clear" w:color="auto" w:fill="FFFFFF"/>
          <w:lang w:bidi="ar"/>
        </w:rPr>
        <w:t xml:space="preserve">      </w:t>
      </w:r>
      <w:r>
        <w:rPr>
          <w:rFonts w:ascii="Times New Roman" w:hAnsi="Times New Roman"/>
          <w:color w:val="auto"/>
          <w:sz w:val="24"/>
          <w:szCs w:val="24"/>
          <w:highlight w:val="none"/>
          <w:u w:val="single"/>
          <w:shd w:val="clear" w:color="auto" w:fill="FFFFFF"/>
          <w:lang w:bidi="ar"/>
        </w:rPr>
        <w:tab/>
      </w:r>
      <w:r>
        <w:rPr>
          <w:rFonts w:hint="eastAsia" w:ascii="Times New Roman" w:hAnsi="Times New Roman"/>
          <w:color w:val="auto"/>
          <w:sz w:val="24"/>
          <w:szCs w:val="24"/>
          <w:highlight w:val="none"/>
          <w:u w:val="single"/>
          <w:shd w:val="clear" w:color="auto" w:fill="FFFFFF"/>
          <w:lang w:bidi="ar"/>
        </w:rPr>
        <w:t>（供应商单位名称）</w:t>
      </w:r>
      <w:r>
        <w:rPr>
          <w:rFonts w:ascii="Times New Roman" w:hAnsi="Times New Roman"/>
          <w:color w:val="auto"/>
          <w:sz w:val="24"/>
          <w:szCs w:val="24"/>
          <w:highlight w:val="none"/>
          <w:u w:val="single"/>
          <w:shd w:val="clear" w:color="auto" w:fill="FFFFFF"/>
          <w:lang w:bidi="ar"/>
        </w:rPr>
        <w:tab/>
      </w:r>
      <w:r>
        <w:rPr>
          <w:rFonts w:hint="eastAsia" w:ascii="Times New Roman" w:hAnsi="Times New Roman"/>
          <w:color w:val="auto"/>
          <w:sz w:val="24"/>
          <w:szCs w:val="24"/>
          <w:highlight w:val="none"/>
          <w:shd w:val="clear" w:color="auto" w:fill="FFFFFF"/>
          <w:lang w:bidi="ar"/>
        </w:rPr>
        <w:t>的法定代表人。</w:t>
      </w:r>
    </w:p>
    <w:p w14:paraId="4A655236">
      <w:pPr>
        <w:spacing w:line="600" w:lineRule="exact"/>
        <w:ind w:firstLine="566" w:firstLineChars="236"/>
        <w:rPr>
          <w:rFonts w:ascii="Times New Roman" w:hAnsi="Times New Roman"/>
          <w:color w:val="auto"/>
          <w:sz w:val="24"/>
          <w:szCs w:val="24"/>
          <w:highlight w:val="none"/>
          <w:shd w:val="clear" w:color="auto" w:fill="FFFFFF"/>
          <w:lang w:bidi="ar"/>
        </w:rPr>
      </w:pPr>
    </w:p>
    <w:p w14:paraId="0F456F2E">
      <w:pPr>
        <w:spacing w:line="600" w:lineRule="exact"/>
        <w:ind w:firstLine="566" w:firstLineChars="236"/>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特此证明。</w:t>
      </w:r>
    </w:p>
    <w:p w14:paraId="680AD0EB">
      <w:pPr>
        <w:spacing w:line="600" w:lineRule="exact"/>
        <w:ind w:firstLine="566" w:firstLineChars="236"/>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（后附法定代表人身份证正反面扫描件）</w:t>
      </w:r>
    </w:p>
    <w:p w14:paraId="7DA3C482">
      <w:pPr>
        <w:spacing w:line="600" w:lineRule="exact"/>
        <w:ind w:firstLine="566" w:firstLineChars="236"/>
        <w:rPr>
          <w:rFonts w:ascii="Times New Roman" w:hAnsi="Times New Roman"/>
          <w:color w:val="auto"/>
          <w:sz w:val="24"/>
          <w:szCs w:val="24"/>
          <w:highlight w:val="none"/>
          <w:shd w:val="clear" w:color="auto" w:fill="FFFFFF"/>
          <w:lang w:bidi="ar"/>
        </w:rPr>
      </w:pPr>
    </w:p>
    <w:p w14:paraId="2B981325">
      <w:pPr>
        <w:spacing w:line="460" w:lineRule="exact"/>
        <w:ind w:firstLine="3400" w:firstLineChars="1417"/>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供应商：</w:t>
      </w:r>
      <w:r>
        <w:rPr>
          <w:rFonts w:ascii="Times New Roman" w:hAnsi="Times New Roman"/>
          <w:color w:val="auto"/>
          <w:sz w:val="24"/>
          <w:szCs w:val="24"/>
          <w:highlight w:val="none"/>
          <w:u w:val="single"/>
          <w:shd w:val="clear" w:color="auto" w:fill="FFFFFF"/>
          <w:lang w:bidi="ar"/>
        </w:rPr>
        <w:t xml:space="preserve">                     </w:t>
      </w:r>
      <w:r>
        <w:rPr>
          <w:rFonts w:ascii="Times New Roman" w:hAnsi="Times New Roman"/>
          <w:color w:val="auto"/>
          <w:sz w:val="24"/>
          <w:szCs w:val="24"/>
          <w:highlight w:val="none"/>
          <w:shd w:val="clear" w:color="auto" w:fill="FFFFFF"/>
          <w:lang w:bidi="ar"/>
        </w:rPr>
        <w:t>(</w:t>
      </w:r>
      <w:r>
        <w:rPr>
          <w:rFonts w:hint="eastAsia" w:ascii="Times New Roman" w:hAnsi="Times New Roman"/>
          <w:color w:val="auto"/>
          <w:sz w:val="24"/>
          <w:szCs w:val="24"/>
          <w:highlight w:val="none"/>
          <w:shd w:val="clear" w:color="auto" w:fill="FFFFFF"/>
          <w:lang w:bidi="ar"/>
        </w:rPr>
        <w:t>电子签章</w:t>
      </w:r>
      <w:r>
        <w:rPr>
          <w:rFonts w:ascii="Times New Roman" w:hAnsi="Times New Roman"/>
          <w:color w:val="auto"/>
          <w:sz w:val="24"/>
          <w:szCs w:val="24"/>
          <w:highlight w:val="none"/>
          <w:shd w:val="clear" w:color="auto" w:fill="FFFFFF"/>
          <w:lang w:bidi="ar"/>
        </w:rPr>
        <w:t xml:space="preserve">) </w:t>
      </w:r>
    </w:p>
    <w:p w14:paraId="5EFD41DB">
      <w:pPr>
        <w:spacing w:line="600" w:lineRule="exact"/>
        <w:ind w:firstLine="5244" w:firstLineChars="2185"/>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日期：</w:t>
      </w:r>
      <w:r>
        <w:rPr>
          <w:rFonts w:ascii="Times New Roman" w:hAnsi="Times New Roman"/>
          <w:color w:val="auto"/>
          <w:sz w:val="24"/>
          <w:szCs w:val="24"/>
          <w:highlight w:val="none"/>
          <w:shd w:val="clear" w:color="auto" w:fill="FFFFFF"/>
          <w:lang w:bidi="ar"/>
        </w:rPr>
        <w:t xml:space="preserve">     </w:t>
      </w:r>
      <w:r>
        <w:rPr>
          <w:rFonts w:hint="eastAsia" w:ascii="Times New Roman" w:hAnsi="Times New Roman"/>
          <w:color w:val="auto"/>
          <w:sz w:val="24"/>
          <w:szCs w:val="24"/>
          <w:highlight w:val="none"/>
          <w:shd w:val="clear" w:color="auto" w:fill="FFFFFF"/>
          <w:lang w:bidi="ar"/>
        </w:rPr>
        <w:t>年</w:t>
      </w:r>
      <w:r>
        <w:rPr>
          <w:rFonts w:ascii="Times New Roman" w:hAnsi="Times New Roman"/>
          <w:color w:val="auto"/>
          <w:sz w:val="24"/>
          <w:szCs w:val="24"/>
          <w:highlight w:val="none"/>
          <w:shd w:val="clear" w:color="auto" w:fill="FFFFFF"/>
          <w:lang w:bidi="ar"/>
        </w:rPr>
        <w:tab/>
      </w:r>
      <w:r>
        <w:rPr>
          <w:rFonts w:hint="eastAsia" w:ascii="Times New Roman" w:hAnsi="Times New Roman"/>
          <w:color w:val="auto"/>
          <w:sz w:val="24"/>
          <w:szCs w:val="24"/>
          <w:highlight w:val="none"/>
          <w:shd w:val="clear" w:color="auto" w:fill="FFFFFF"/>
          <w:lang w:bidi="ar"/>
        </w:rPr>
        <w:t>月</w:t>
      </w:r>
      <w:r>
        <w:rPr>
          <w:rFonts w:ascii="Times New Roman" w:hAnsi="Times New Roman"/>
          <w:color w:val="auto"/>
          <w:sz w:val="24"/>
          <w:szCs w:val="24"/>
          <w:highlight w:val="none"/>
          <w:shd w:val="clear" w:color="auto" w:fill="FFFFFF"/>
          <w:lang w:bidi="ar"/>
        </w:rPr>
        <w:t xml:space="preserve">   </w:t>
      </w:r>
      <w:r>
        <w:rPr>
          <w:rFonts w:hint="eastAsia" w:ascii="Times New Roman" w:hAnsi="Times New Roman"/>
          <w:color w:val="auto"/>
          <w:sz w:val="24"/>
          <w:szCs w:val="24"/>
          <w:highlight w:val="none"/>
          <w:shd w:val="clear" w:color="auto" w:fill="FFFFFF"/>
          <w:lang w:bidi="ar"/>
        </w:rPr>
        <w:t>日</w:t>
      </w:r>
    </w:p>
    <w:p w14:paraId="5E89E8B4">
      <w:pPr>
        <w:spacing w:line="600" w:lineRule="exact"/>
        <w:ind w:firstLine="566" w:firstLineChars="236"/>
        <w:jc w:val="right"/>
        <w:rPr>
          <w:rFonts w:ascii="Times New Roman" w:hAnsi="Times New Roman"/>
          <w:color w:val="auto"/>
          <w:sz w:val="24"/>
          <w:szCs w:val="24"/>
          <w:highlight w:val="none"/>
          <w:shd w:val="clear" w:color="auto" w:fill="FFFFFF"/>
          <w:lang w:bidi="ar"/>
        </w:rPr>
      </w:pPr>
    </w:p>
    <w:p w14:paraId="3D07D8BA">
      <w:pPr>
        <w:spacing w:line="600" w:lineRule="exact"/>
        <w:ind w:firstLine="566" w:firstLineChars="236"/>
        <w:rPr>
          <w:rFonts w:ascii="Times New Roman" w:hAnsi="Times New Roman"/>
          <w:color w:val="auto"/>
          <w:sz w:val="24"/>
          <w:szCs w:val="24"/>
          <w:highlight w:val="none"/>
          <w:shd w:val="clear" w:color="auto" w:fill="FFFFFF"/>
          <w:lang w:bidi="ar"/>
        </w:rPr>
      </w:pPr>
    </w:p>
    <w:p w14:paraId="3479E3C6">
      <w:pPr>
        <w:spacing w:line="600" w:lineRule="exact"/>
        <w:rPr>
          <w:rFonts w:ascii="Times New Roman" w:hAnsi="Times New Roman"/>
          <w:color w:val="auto"/>
          <w:sz w:val="24"/>
          <w:szCs w:val="24"/>
          <w:highlight w:val="none"/>
          <w:shd w:val="clear" w:color="auto" w:fill="FFFFFF"/>
          <w:lang w:bidi="ar"/>
        </w:rPr>
      </w:pPr>
    </w:p>
    <w:p w14:paraId="3EF8EE6E">
      <w:pPr>
        <w:spacing w:line="480" w:lineRule="auto"/>
        <w:ind w:firstLine="480" w:firstLineChars="200"/>
        <w:jc w:val="left"/>
        <w:rPr>
          <w:rFonts w:ascii="Times New Roman" w:hAnsi="Times New Roman"/>
          <w:color w:val="auto"/>
          <w:sz w:val="24"/>
          <w:szCs w:val="24"/>
          <w:highlight w:val="none"/>
          <w:lang w:bidi="ar"/>
        </w:rPr>
      </w:pPr>
    </w:p>
    <w:p w14:paraId="631D7DA2">
      <w:pPr>
        <w:spacing w:line="360" w:lineRule="auto"/>
        <w:ind w:firstLine="400" w:firstLineChars="200"/>
        <w:jc w:val="left"/>
        <w:rPr>
          <w:rFonts w:ascii="Times New Roman" w:hAnsi="Times New Roman"/>
          <w:color w:val="auto"/>
          <w:kern w:val="0"/>
          <w:sz w:val="20"/>
          <w:szCs w:val="20"/>
          <w:highlight w:val="none"/>
          <w:lang w:bidi="ar"/>
        </w:rPr>
      </w:pPr>
    </w:p>
    <w:p w14:paraId="0DA2E44B">
      <w:pPr>
        <w:spacing w:line="500" w:lineRule="exact"/>
        <w:rPr>
          <w:rFonts w:ascii="Times New Roman" w:hAnsi="Times New Roman"/>
          <w:color w:val="auto"/>
          <w:sz w:val="24"/>
          <w:szCs w:val="28"/>
          <w:highlight w:val="none"/>
          <w:shd w:val="clear" w:color="auto" w:fill="FFFFFF"/>
          <w:lang w:bidi="ar"/>
        </w:rPr>
      </w:pPr>
    </w:p>
    <w:p w14:paraId="09B0158D">
      <w:pPr>
        <w:spacing w:line="517" w:lineRule="exact"/>
        <w:ind w:left="277" w:hanging="277" w:hangingChars="115"/>
        <w:jc w:val="center"/>
        <w:outlineLvl w:val="1"/>
        <w:rPr>
          <w:rFonts w:ascii="Times New Roman" w:hAnsi="Times New Roman"/>
          <w:b/>
          <w:bCs/>
          <w:color w:val="auto"/>
          <w:sz w:val="24"/>
          <w:szCs w:val="32"/>
          <w:highlight w:val="none"/>
          <w:lang w:val="zh-CN" w:bidi="zh-CN"/>
        </w:rPr>
      </w:pPr>
      <w:bookmarkStart w:id="485" w:name="_Toc525836332"/>
      <w:bookmarkStart w:id="486" w:name="_Toc508113564"/>
      <w:bookmarkStart w:id="487" w:name="_Toc508873163"/>
      <w:bookmarkStart w:id="488" w:name="_Toc479341614"/>
      <w:bookmarkStart w:id="489" w:name="_Toc517338638"/>
      <w:r>
        <w:rPr>
          <w:rFonts w:ascii="Times New Roman" w:hAnsi="Times New Roman"/>
          <w:b/>
          <w:bCs/>
          <w:color w:val="auto"/>
          <w:sz w:val="24"/>
          <w:szCs w:val="32"/>
          <w:highlight w:val="none"/>
          <w:lang w:val="zh-CN" w:bidi="zh-CN"/>
        </w:rPr>
        <w:br w:type="page"/>
      </w:r>
      <w:bookmarkStart w:id="490" w:name="_Toc176358378"/>
      <w:r>
        <w:rPr>
          <w:rFonts w:hint="eastAsia" w:ascii="Times New Roman" w:hAnsi="Times New Roman"/>
          <w:b/>
          <w:bCs/>
          <w:color w:val="auto"/>
          <w:sz w:val="24"/>
          <w:szCs w:val="32"/>
          <w:highlight w:val="none"/>
          <w:lang w:val="zh-CN" w:bidi="zh-CN"/>
        </w:rPr>
        <w:t>四、法定代表人授权委托书</w:t>
      </w:r>
      <w:bookmarkEnd w:id="485"/>
      <w:bookmarkEnd w:id="486"/>
      <w:bookmarkEnd w:id="487"/>
      <w:bookmarkEnd w:id="488"/>
      <w:bookmarkEnd w:id="489"/>
      <w:bookmarkEnd w:id="490"/>
    </w:p>
    <w:p w14:paraId="302A0C29">
      <w:pPr>
        <w:widowControl/>
        <w:snapToGrid w:val="0"/>
        <w:ind w:firstLine="480" w:firstLineChars="200"/>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本人</w:t>
      </w:r>
      <w:r>
        <w:rPr>
          <w:rFonts w:ascii="Times New Roman" w:hAnsi="Times New Roman"/>
          <w:color w:val="auto"/>
          <w:kern w:val="0"/>
          <w:sz w:val="24"/>
          <w:szCs w:val="24"/>
          <w:highlight w:val="none"/>
          <w:u w:val="single"/>
        </w:rPr>
        <w:t xml:space="preserve">    </w:t>
      </w:r>
      <w:r>
        <w:rPr>
          <w:rFonts w:hint="eastAsia" w:ascii="Times New Roman" w:hAnsi="Times New Roman"/>
          <w:color w:val="auto"/>
          <w:kern w:val="0"/>
          <w:sz w:val="24"/>
          <w:szCs w:val="24"/>
          <w:highlight w:val="none"/>
        </w:rPr>
        <w:t>（姓名）系</w:t>
      </w:r>
      <w:r>
        <w:rPr>
          <w:rFonts w:ascii="Times New Roman" w:hAnsi="Times New Roman"/>
          <w:color w:val="auto"/>
          <w:kern w:val="0"/>
          <w:sz w:val="24"/>
          <w:szCs w:val="24"/>
          <w:highlight w:val="none"/>
          <w:u w:val="single"/>
        </w:rPr>
        <w:t xml:space="preserve">      </w:t>
      </w:r>
      <w:r>
        <w:rPr>
          <w:rFonts w:hint="eastAsia" w:ascii="Times New Roman" w:hAnsi="Times New Roman"/>
          <w:color w:val="auto"/>
          <w:kern w:val="0"/>
          <w:sz w:val="24"/>
          <w:szCs w:val="24"/>
          <w:highlight w:val="none"/>
        </w:rPr>
        <w:t>（</w:t>
      </w:r>
      <w:r>
        <w:rPr>
          <w:rFonts w:hint="eastAsia" w:ascii="Times New Roman" w:hAnsi="Times New Roman"/>
          <w:color w:val="auto"/>
          <w:sz w:val="24"/>
          <w:szCs w:val="24"/>
          <w:highlight w:val="none"/>
        </w:rPr>
        <w:t>投标供应商</w:t>
      </w:r>
      <w:r>
        <w:rPr>
          <w:rFonts w:hint="eastAsia" w:ascii="Times New Roman" w:hAnsi="Times New Roman"/>
          <w:color w:val="auto"/>
          <w:kern w:val="0"/>
          <w:sz w:val="24"/>
          <w:szCs w:val="24"/>
          <w:highlight w:val="none"/>
        </w:rPr>
        <w:t>名称）的法定代表人，现授权委托</w:t>
      </w:r>
    </w:p>
    <w:p w14:paraId="5227D24D">
      <w:pPr>
        <w:widowControl/>
        <w:snapToGrid w:val="0"/>
        <w:rPr>
          <w:rFonts w:ascii="Times New Roman" w:hAnsi="Times New Roman"/>
          <w:color w:val="auto"/>
          <w:kern w:val="0"/>
          <w:sz w:val="24"/>
          <w:szCs w:val="24"/>
          <w:highlight w:val="none"/>
        </w:rPr>
      </w:pPr>
      <w:r>
        <w:rPr>
          <w:rFonts w:ascii="Times New Roman" w:hAnsi="Times New Roman"/>
          <w:color w:val="auto"/>
          <w:kern w:val="0"/>
          <w:sz w:val="24"/>
          <w:szCs w:val="24"/>
          <w:highlight w:val="none"/>
          <w:u w:val="single"/>
        </w:rPr>
        <w:t xml:space="preserve">        </w:t>
      </w:r>
      <w:r>
        <w:rPr>
          <w:rFonts w:hint="eastAsia" w:ascii="Times New Roman" w:hAnsi="Times New Roman"/>
          <w:color w:val="auto"/>
          <w:kern w:val="0"/>
          <w:sz w:val="24"/>
          <w:szCs w:val="24"/>
          <w:highlight w:val="none"/>
        </w:rPr>
        <w:t>（单位名称）的</w:t>
      </w:r>
      <w:r>
        <w:rPr>
          <w:rFonts w:ascii="Times New Roman" w:hAnsi="Times New Roman"/>
          <w:color w:val="auto"/>
          <w:kern w:val="0"/>
          <w:sz w:val="24"/>
          <w:szCs w:val="24"/>
          <w:highlight w:val="none"/>
          <w:u w:val="single"/>
        </w:rPr>
        <w:t xml:space="preserve">     </w:t>
      </w:r>
      <w:r>
        <w:rPr>
          <w:rFonts w:hint="eastAsia" w:ascii="Times New Roman" w:hAnsi="Times New Roman"/>
          <w:color w:val="auto"/>
          <w:kern w:val="0"/>
          <w:sz w:val="24"/>
          <w:szCs w:val="24"/>
          <w:highlight w:val="none"/>
        </w:rPr>
        <w:t>（姓名）为我公司代理人，以本公司的名义参加</w:t>
      </w:r>
    </w:p>
    <w:p w14:paraId="0FCA7271">
      <w:pPr>
        <w:widowControl/>
        <w:snapToGrid w:val="0"/>
        <w:rPr>
          <w:rFonts w:ascii="Times New Roman" w:hAnsi="Times New Roman"/>
          <w:color w:val="auto"/>
          <w:kern w:val="0"/>
          <w:sz w:val="24"/>
          <w:szCs w:val="24"/>
          <w:highlight w:val="none"/>
        </w:rPr>
      </w:pPr>
      <w:r>
        <w:rPr>
          <w:rFonts w:ascii="Times New Roman" w:hAnsi="Times New Roman"/>
          <w:color w:val="auto"/>
          <w:kern w:val="0"/>
          <w:sz w:val="24"/>
          <w:szCs w:val="24"/>
          <w:highlight w:val="none"/>
          <w:u w:val="single"/>
        </w:rPr>
        <w:t xml:space="preserve">        </w:t>
      </w:r>
      <w:r>
        <w:rPr>
          <w:rFonts w:hint="eastAsia" w:ascii="Times New Roman" w:hAnsi="Times New Roman"/>
          <w:color w:val="auto"/>
          <w:kern w:val="0"/>
          <w:sz w:val="24"/>
          <w:szCs w:val="24"/>
          <w:highlight w:val="none"/>
        </w:rPr>
        <w:t>（项目名称）的投标活动。代理人在开标、评标、签订合同过程中所签署的一切文件和处理与之有关的一切事务，其法律后果由我方承担。</w:t>
      </w:r>
    </w:p>
    <w:p w14:paraId="614AA608">
      <w:pPr>
        <w:widowControl/>
        <w:snapToGrid w:val="0"/>
        <w:ind w:firstLine="624"/>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委托期限：</w:t>
      </w:r>
      <w:r>
        <w:rPr>
          <w:rFonts w:ascii="Times New Roman" w:hAnsi="Times New Roman"/>
          <w:color w:val="auto"/>
          <w:kern w:val="0"/>
          <w:sz w:val="24"/>
          <w:szCs w:val="24"/>
          <w:highlight w:val="none"/>
          <w:u w:val="single"/>
        </w:rPr>
        <w:t xml:space="preserve">                      </w:t>
      </w:r>
    </w:p>
    <w:p w14:paraId="5A9D777C">
      <w:pPr>
        <w:widowControl/>
        <w:snapToGrid w:val="0"/>
        <w:ind w:firstLine="624"/>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代理人无转委托权，特此证明。</w:t>
      </w:r>
    </w:p>
    <w:p w14:paraId="630C43DD">
      <w:pPr>
        <w:widowControl/>
        <w:snapToGrid w:val="0"/>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附：法定代表人及委托代理人身份证明</w:t>
      </w:r>
    </w:p>
    <w:p w14:paraId="0280157D">
      <w:pPr>
        <w:rPr>
          <w:rFonts w:ascii="Times New Roman" w:hAnsi="Times New Roman"/>
          <w:b/>
          <w:bCs/>
          <w:color w:val="auto"/>
          <w:sz w:val="24"/>
          <w:szCs w:val="24"/>
          <w:highlight w:val="none"/>
        </w:rPr>
      </w:pPr>
    </w:p>
    <w:p w14:paraId="39A1E556">
      <w:pPr>
        <w:ind w:firstLine="2834" w:firstLineChars="1181"/>
        <w:textAlignment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供应商：</w:t>
      </w:r>
      <w:r>
        <w:rPr>
          <w:rFonts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rPr>
        <w:t>（电子签章）</w:t>
      </w:r>
    </w:p>
    <w:p w14:paraId="47BFEE6A">
      <w:pPr>
        <w:ind w:firstLine="2834" w:firstLineChars="1181"/>
        <w:textAlignment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法定代表人：</w:t>
      </w:r>
      <w:r>
        <w:rPr>
          <w:rFonts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rPr>
        <w:t>（电子签章）</w:t>
      </w:r>
    </w:p>
    <w:p w14:paraId="572AF18E">
      <w:pPr>
        <w:ind w:firstLine="2834" w:firstLineChars="1181"/>
        <w:textAlignment w:val="center"/>
        <w:rPr>
          <w:rFonts w:ascii="Times New Roman" w:hAnsi="Times New Roman"/>
          <w:color w:val="auto"/>
          <w:sz w:val="24"/>
          <w:szCs w:val="24"/>
          <w:highlight w:val="none"/>
          <w:u w:val="single"/>
        </w:rPr>
      </w:pPr>
      <w:r>
        <w:rPr>
          <w:rFonts w:hint="eastAsia" w:ascii="Times New Roman" w:hAnsi="Times New Roman"/>
          <w:color w:val="auto"/>
          <w:sz w:val="24"/>
          <w:szCs w:val="24"/>
          <w:highlight w:val="none"/>
        </w:rPr>
        <w:t>委托代理人：</w:t>
      </w:r>
      <w:r>
        <w:rPr>
          <w:rFonts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u w:val="single"/>
        </w:rPr>
        <w:t xml:space="preserve">        </w:t>
      </w:r>
      <w:r>
        <w:rPr>
          <w:rFonts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u w:val="single"/>
        </w:rPr>
        <w:t>（签字或盖章）</w:t>
      </w:r>
    </w:p>
    <w:p w14:paraId="090DD6B9">
      <w:pPr>
        <w:ind w:firstLine="2834" w:firstLineChars="1181"/>
        <w:textAlignment w:val="center"/>
        <w:rPr>
          <w:rFonts w:ascii="Times New Roman" w:hAnsi="Times New Roman"/>
          <w:color w:val="auto"/>
          <w:sz w:val="24"/>
          <w:szCs w:val="24"/>
          <w:highlight w:val="none"/>
          <w:u w:val="single"/>
        </w:rPr>
      </w:pPr>
      <w:r>
        <w:rPr>
          <w:rFonts w:hint="eastAsia" w:ascii="Times New Roman" w:hAnsi="Times New Roman"/>
          <w:color w:val="auto"/>
          <w:sz w:val="24"/>
          <w:szCs w:val="24"/>
          <w:highlight w:val="none"/>
        </w:rPr>
        <w:t>委托代理人联系电话（手机）：</w:t>
      </w:r>
      <w:r>
        <w:rPr>
          <w:rFonts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u w:val="single"/>
        </w:rPr>
        <w:t xml:space="preserve">       </w:t>
      </w:r>
      <w:r>
        <w:rPr>
          <w:rFonts w:ascii="Times New Roman" w:hAnsi="Times New Roman"/>
          <w:color w:val="auto"/>
          <w:sz w:val="24"/>
          <w:szCs w:val="24"/>
          <w:highlight w:val="none"/>
          <w:u w:val="single"/>
        </w:rPr>
        <w:t xml:space="preserve">      </w:t>
      </w:r>
    </w:p>
    <w:p w14:paraId="6E26FC0E">
      <w:pPr>
        <w:ind w:firstLine="2834" w:firstLineChars="1181"/>
        <w:jc w:val="right"/>
        <w:textAlignment w:val="center"/>
        <w:rPr>
          <w:rFonts w:ascii="Times New Roman" w:hAnsi="Times New Roman"/>
          <w:color w:val="auto"/>
          <w:sz w:val="24"/>
          <w:szCs w:val="24"/>
          <w:highlight w:val="none"/>
        </w:rPr>
      </w:pPr>
      <w:r>
        <w:rPr>
          <w:rFonts w:ascii="Times New Roman" w:hAnsi="Times New Roman"/>
          <w:color w:val="auto"/>
          <w:sz w:val="24"/>
          <w:szCs w:val="24"/>
          <w:highlight w:val="none"/>
        </w:rPr>
        <w:t xml:space="preserve"> </w:t>
      </w:r>
      <w:r>
        <w:rPr>
          <w:rFonts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rPr>
        <w:t>年</w:t>
      </w:r>
      <w:r>
        <w:rPr>
          <w:rFonts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rPr>
        <w:t>月</w:t>
      </w:r>
      <w:r>
        <w:rPr>
          <w:rFonts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rPr>
        <w:t>日</w:t>
      </w:r>
    </w:p>
    <w:p w14:paraId="65AE015E">
      <w:pPr>
        <w:spacing w:line="360" w:lineRule="auto"/>
        <w:ind w:firstLine="3600" w:firstLineChars="1500"/>
        <w:rPr>
          <w:rFonts w:ascii="Times New Roman" w:hAnsi="Times New Roman"/>
          <w:color w:val="auto"/>
          <w:sz w:val="24"/>
          <w:szCs w:val="24"/>
          <w:highlight w:val="none"/>
        </w:rPr>
      </w:pPr>
      <w:r>
        <w:rPr>
          <w:rFonts w:hint="eastAsia" w:ascii="Times New Roman" w:hAnsi="Times New Roman"/>
          <w:color w:val="auto"/>
          <w:sz w:val="24"/>
          <w:szCs w:val="24"/>
          <w:highlight w:val="none"/>
        </w:rPr>
        <w:t>法定代表人身份证扫描件</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308"/>
        <w:gridCol w:w="4308"/>
      </w:tblGrid>
      <w:tr w14:paraId="6C0F6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5" w:hRule="atLeast"/>
          <w:jc w:val="center"/>
        </w:trPr>
        <w:tc>
          <w:tcPr>
            <w:tcW w:w="4372" w:type="dxa"/>
            <w:tcBorders>
              <w:top w:val="single" w:color="000000" w:sz="4" w:space="0"/>
              <w:left w:val="single" w:color="000000" w:sz="4" w:space="0"/>
              <w:bottom w:val="single" w:color="000000" w:sz="4" w:space="0"/>
              <w:right w:val="single" w:color="000000" w:sz="4" w:space="0"/>
            </w:tcBorders>
            <w:vAlign w:val="center"/>
          </w:tcPr>
          <w:p w14:paraId="0E09CD7B">
            <w:pPr>
              <w:spacing w:line="360" w:lineRule="auto"/>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正面</w:t>
            </w:r>
          </w:p>
        </w:tc>
        <w:tc>
          <w:tcPr>
            <w:tcW w:w="4372" w:type="dxa"/>
            <w:tcBorders>
              <w:top w:val="single" w:color="000000" w:sz="4" w:space="0"/>
              <w:left w:val="single" w:color="000000" w:sz="4" w:space="0"/>
              <w:bottom w:val="single" w:color="000000" w:sz="4" w:space="0"/>
              <w:right w:val="single" w:color="000000" w:sz="4" w:space="0"/>
            </w:tcBorders>
            <w:vAlign w:val="center"/>
          </w:tcPr>
          <w:p w14:paraId="4E6D1CD8">
            <w:pPr>
              <w:spacing w:line="360" w:lineRule="auto"/>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背面</w:t>
            </w:r>
          </w:p>
        </w:tc>
      </w:tr>
    </w:tbl>
    <w:p w14:paraId="0FCB67C8">
      <w:pPr>
        <w:spacing w:line="360" w:lineRule="auto"/>
        <w:ind w:firstLine="3600" w:firstLineChars="1500"/>
        <w:rPr>
          <w:rFonts w:ascii="Times New Roman" w:hAnsi="Times New Roman"/>
          <w:color w:val="auto"/>
          <w:sz w:val="24"/>
          <w:szCs w:val="24"/>
          <w:highlight w:val="none"/>
        </w:rPr>
      </w:pPr>
      <w:r>
        <w:rPr>
          <w:rFonts w:hint="eastAsia" w:ascii="Times New Roman" w:hAnsi="Times New Roman"/>
          <w:color w:val="auto"/>
          <w:sz w:val="24"/>
          <w:szCs w:val="24"/>
          <w:highlight w:val="none"/>
        </w:rPr>
        <w:t>委托代理人身份证扫描件</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308"/>
        <w:gridCol w:w="4308"/>
      </w:tblGrid>
      <w:tr w14:paraId="52666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5" w:hRule="atLeast"/>
          <w:jc w:val="center"/>
        </w:trPr>
        <w:tc>
          <w:tcPr>
            <w:tcW w:w="4360" w:type="dxa"/>
            <w:tcBorders>
              <w:top w:val="single" w:color="000000" w:sz="4" w:space="0"/>
              <w:left w:val="single" w:color="000000" w:sz="4" w:space="0"/>
              <w:bottom w:val="single" w:color="000000" w:sz="4" w:space="0"/>
              <w:right w:val="single" w:color="000000" w:sz="4" w:space="0"/>
            </w:tcBorders>
            <w:vAlign w:val="center"/>
          </w:tcPr>
          <w:p w14:paraId="4D83F676">
            <w:pPr>
              <w:jc w:val="center"/>
              <w:rPr>
                <w:rFonts w:ascii="Times New Roman" w:hAnsi="Times New Roman"/>
                <w:color w:val="auto"/>
                <w:szCs w:val="24"/>
                <w:highlight w:val="none"/>
              </w:rPr>
            </w:pPr>
            <w:r>
              <w:rPr>
                <w:rFonts w:hint="eastAsia" w:ascii="Times New Roman" w:hAnsi="Times New Roman"/>
                <w:color w:val="auto"/>
                <w:szCs w:val="24"/>
                <w:highlight w:val="none"/>
              </w:rPr>
              <w:t>正面</w:t>
            </w:r>
          </w:p>
        </w:tc>
        <w:tc>
          <w:tcPr>
            <w:tcW w:w="4360" w:type="dxa"/>
            <w:tcBorders>
              <w:top w:val="single" w:color="000000" w:sz="4" w:space="0"/>
              <w:left w:val="single" w:color="000000" w:sz="4" w:space="0"/>
              <w:bottom w:val="single" w:color="000000" w:sz="4" w:space="0"/>
              <w:right w:val="single" w:color="000000" w:sz="4" w:space="0"/>
            </w:tcBorders>
            <w:vAlign w:val="center"/>
          </w:tcPr>
          <w:p w14:paraId="535DBCCE">
            <w:pPr>
              <w:jc w:val="center"/>
              <w:rPr>
                <w:rFonts w:ascii="Times New Roman" w:hAnsi="Times New Roman"/>
                <w:color w:val="auto"/>
                <w:szCs w:val="24"/>
                <w:highlight w:val="none"/>
              </w:rPr>
            </w:pPr>
            <w:r>
              <w:rPr>
                <w:rFonts w:hint="eastAsia" w:ascii="Times New Roman" w:hAnsi="Times New Roman"/>
                <w:color w:val="auto"/>
                <w:szCs w:val="24"/>
                <w:highlight w:val="none"/>
              </w:rPr>
              <w:t>背面</w:t>
            </w:r>
          </w:p>
        </w:tc>
      </w:tr>
    </w:tbl>
    <w:p w14:paraId="4422951D">
      <w:pPr>
        <w:rPr>
          <w:rFonts w:ascii="Times New Roman" w:hAnsi="Times New Roman"/>
          <w:color w:val="auto"/>
          <w:szCs w:val="24"/>
          <w:highlight w:val="none"/>
        </w:rPr>
      </w:pPr>
      <w:r>
        <w:rPr>
          <w:rFonts w:hint="eastAsia" w:ascii="Times New Roman" w:hAnsi="Times New Roman"/>
          <w:color w:val="auto"/>
          <w:szCs w:val="24"/>
          <w:highlight w:val="none"/>
        </w:rPr>
        <w:t>注：本项目为电子标，委托代理人签字可以为电脑打印字体或法定代表人电子签章为准。</w:t>
      </w:r>
    </w:p>
    <w:p w14:paraId="7AF42180">
      <w:pPr>
        <w:rPr>
          <w:rFonts w:ascii="Times New Roman" w:hAnsi="Times New Roman"/>
          <w:b/>
          <w:bCs/>
          <w:color w:val="auto"/>
          <w:sz w:val="24"/>
          <w:szCs w:val="32"/>
          <w:highlight w:val="none"/>
          <w:lang w:val="zh-CN" w:bidi="zh-CN"/>
        </w:rPr>
      </w:pPr>
      <w:bookmarkStart w:id="491" w:name="_Toc176358379"/>
      <w:bookmarkStart w:id="492" w:name="_Toc525836337"/>
      <w:r>
        <w:rPr>
          <w:rFonts w:ascii="Times New Roman" w:hAnsi="Times New Roman"/>
          <w:b/>
          <w:bCs/>
          <w:color w:val="auto"/>
          <w:sz w:val="24"/>
          <w:szCs w:val="32"/>
          <w:highlight w:val="none"/>
          <w:lang w:val="zh-CN" w:bidi="zh-CN"/>
        </w:rPr>
        <w:br w:type="page"/>
      </w:r>
    </w:p>
    <w:p w14:paraId="2150CE6D">
      <w:pPr>
        <w:pStyle w:val="4"/>
        <w:spacing w:before="190" w:after="190"/>
        <w:ind w:left="0" w:firstLine="0" w:firstLineChars="0"/>
        <w:rPr>
          <w:rFonts w:ascii="Times New Roman" w:hAnsi="Times New Roman" w:eastAsia="宋体" w:cs="Times New Roman"/>
          <w:color w:val="auto"/>
          <w:szCs w:val="32"/>
          <w:highlight w:val="none"/>
        </w:rPr>
      </w:pPr>
      <w:r>
        <w:rPr>
          <w:rFonts w:hint="eastAsia" w:ascii="Times New Roman" w:hAnsi="Times New Roman" w:eastAsia="宋体" w:cs="Times New Roman"/>
          <w:color w:val="auto"/>
          <w:szCs w:val="32"/>
          <w:highlight w:val="none"/>
          <w:lang w:val="en-US"/>
        </w:rPr>
        <w:t>五、</w:t>
      </w:r>
      <w:r>
        <w:rPr>
          <w:rFonts w:hint="eastAsia" w:ascii="Times New Roman" w:hAnsi="Times New Roman" w:eastAsia="宋体" w:cs="Times New Roman"/>
          <w:color w:val="auto"/>
          <w:szCs w:val="32"/>
          <w:highlight w:val="none"/>
        </w:rPr>
        <w:t>投标承诺函</w:t>
      </w:r>
    </w:p>
    <w:p w14:paraId="0C104BA1">
      <w:pPr>
        <w:widowControl/>
        <w:snapToGrid w:val="0"/>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u w:val="single"/>
        </w:rPr>
        <w:t xml:space="preserve">   </w:t>
      </w:r>
      <w:r>
        <w:rPr>
          <w:rFonts w:hint="eastAsia" w:ascii="Times New Roman" w:hAnsi="Times New Roman"/>
          <w:color w:val="auto"/>
          <w:kern w:val="0"/>
          <w:sz w:val="24"/>
          <w:szCs w:val="24"/>
          <w:highlight w:val="none"/>
          <w:u w:val="single"/>
        </w:rPr>
        <w:t>（采购人名称）</w:t>
      </w:r>
      <w:r>
        <w:rPr>
          <w:rFonts w:ascii="Times New Roman" w:hAnsi="Times New Roman"/>
          <w:color w:val="auto"/>
          <w:kern w:val="0"/>
          <w:sz w:val="24"/>
          <w:szCs w:val="24"/>
          <w:highlight w:val="none"/>
          <w:u w:val="single"/>
        </w:rPr>
        <w:t xml:space="preserve">    </w:t>
      </w:r>
      <w:r>
        <w:rPr>
          <w:rFonts w:hint="eastAsia" w:ascii="Times New Roman" w:hAnsi="Times New Roman"/>
          <w:color w:val="auto"/>
          <w:kern w:val="0"/>
          <w:sz w:val="24"/>
          <w:szCs w:val="24"/>
          <w:highlight w:val="none"/>
        </w:rPr>
        <w:t>：</w:t>
      </w:r>
    </w:p>
    <w:p w14:paraId="21DE8971">
      <w:pPr>
        <w:widowControl/>
        <w:snapToGrid w:val="0"/>
        <w:ind w:firstLine="480" w:firstLineChars="200"/>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我单位</w:t>
      </w:r>
      <w:r>
        <w:rPr>
          <w:rFonts w:ascii="Times New Roman" w:hAnsi="Times New Roman"/>
          <w:color w:val="auto"/>
          <w:kern w:val="0"/>
          <w:sz w:val="24"/>
          <w:szCs w:val="24"/>
          <w:highlight w:val="none"/>
          <w:u w:val="single"/>
        </w:rPr>
        <w:t xml:space="preserve">    </w:t>
      </w:r>
      <w:r>
        <w:rPr>
          <w:rFonts w:hint="eastAsia" w:ascii="Times New Roman" w:hAnsi="Times New Roman"/>
          <w:color w:val="auto"/>
          <w:kern w:val="0"/>
          <w:sz w:val="24"/>
          <w:szCs w:val="24"/>
          <w:highlight w:val="none"/>
          <w:u w:val="single"/>
        </w:rPr>
        <w:t>（供应商名称）</w:t>
      </w:r>
      <w:r>
        <w:rPr>
          <w:rFonts w:ascii="Times New Roman" w:hAnsi="Times New Roman"/>
          <w:color w:val="auto"/>
          <w:kern w:val="0"/>
          <w:sz w:val="24"/>
          <w:szCs w:val="24"/>
          <w:highlight w:val="none"/>
          <w:u w:val="single"/>
        </w:rPr>
        <w:t xml:space="preserve">     </w:t>
      </w:r>
      <w:r>
        <w:rPr>
          <w:rFonts w:hint="eastAsia" w:ascii="Times New Roman" w:hAnsi="Times New Roman"/>
          <w:color w:val="auto"/>
          <w:kern w:val="0"/>
          <w:sz w:val="24"/>
          <w:szCs w:val="24"/>
          <w:highlight w:val="none"/>
        </w:rPr>
        <w:t>在参加</w:t>
      </w:r>
      <w:r>
        <w:rPr>
          <w:rFonts w:ascii="Times New Roman" w:hAnsi="Times New Roman"/>
          <w:color w:val="auto"/>
          <w:kern w:val="0"/>
          <w:sz w:val="24"/>
          <w:szCs w:val="24"/>
          <w:highlight w:val="none"/>
          <w:u w:val="single"/>
        </w:rPr>
        <w:t xml:space="preserve">         </w:t>
      </w:r>
      <w:r>
        <w:rPr>
          <w:rFonts w:hint="eastAsia" w:ascii="Times New Roman" w:hAnsi="Times New Roman"/>
          <w:color w:val="auto"/>
          <w:kern w:val="0"/>
          <w:sz w:val="24"/>
          <w:szCs w:val="24"/>
          <w:highlight w:val="none"/>
        </w:rPr>
        <w:t>（项目名称），</w:t>
      </w:r>
      <w:r>
        <w:rPr>
          <w:rFonts w:ascii="Times New Roman" w:hAnsi="Times New Roman"/>
          <w:color w:val="auto"/>
          <w:kern w:val="0"/>
          <w:sz w:val="24"/>
          <w:szCs w:val="24"/>
          <w:highlight w:val="none"/>
          <w:u w:val="single"/>
        </w:rPr>
        <w:t xml:space="preserve">  </w:t>
      </w:r>
      <w:r>
        <w:rPr>
          <w:rFonts w:hint="eastAsia" w:ascii="Times New Roman" w:hAnsi="Times New Roman"/>
          <w:color w:val="auto"/>
          <w:kern w:val="0"/>
          <w:sz w:val="24"/>
          <w:szCs w:val="24"/>
          <w:highlight w:val="none"/>
          <w:u w:val="single"/>
        </w:rPr>
        <w:t>（项目编号）</w:t>
      </w:r>
      <w:r>
        <w:rPr>
          <w:rFonts w:ascii="Times New Roman" w:hAnsi="Times New Roman"/>
          <w:color w:val="auto"/>
          <w:kern w:val="0"/>
          <w:sz w:val="24"/>
          <w:szCs w:val="24"/>
          <w:highlight w:val="none"/>
          <w:u w:val="single"/>
        </w:rPr>
        <w:t xml:space="preserve">  </w:t>
      </w:r>
      <w:r>
        <w:rPr>
          <w:rFonts w:hint="eastAsia" w:ascii="Times New Roman" w:hAnsi="Times New Roman"/>
          <w:color w:val="auto"/>
          <w:kern w:val="0"/>
          <w:sz w:val="24"/>
          <w:szCs w:val="24"/>
          <w:highlight w:val="none"/>
        </w:rPr>
        <w:t>，根据《中华人民共和国政府采购法》《河南省财政厅关于优化政府采购营商环境有关问题的通知》（豫财购〔</w:t>
      </w:r>
      <w:r>
        <w:rPr>
          <w:rFonts w:ascii="Times New Roman" w:hAnsi="Times New Roman"/>
          <w:color w:val="auto"/>
          <w:kern w:val="0"/>
          <w:sz w:val="24"/>
          <w:szCs w:val="24"/>
          <w:highlight w:val="none"/>
        </w:rPr>
        <w:t>2019</w:t>
      </w:r>
      <w:r>
        <w:rPr>
          <w:rFonts w:hint="eastAsia" w:ascii="Times New Roman" w:hAnsi="Times New Roman"/>
          <w:color w:val="auto"/>
          <w:kern w:val="0"/>
          <w:sz w:val="24"/>
          <w:szCs w:val="24"/>
          <w:highlight w:val="none"/>
        </w:rPr>
        <w:t>〕</w:t>
      </w:r>
      <w:r>
        <w:rPr>
          <w:rFonts w:ascii="Times New Roman" w:hAnsi="Times New Roman"/>
          <w:color w:val="auto"/>
          <w:kern w:val="0"/>
          <w:sz w:val="24"/>
          <w:szCs w:val="24"/>
          <w:highlight w:val="none"/>
        </w:rPr>
        <w:t>4</w:t>
      </w:r>
      <w:r>
        <w:rPr>
          <w:rFonts w:hint="eastAsia" w:ascii="Times New Roman" w:hAnsi="Times New Roman"/>
          <w:color w:val="auto"/>
          <w:kern w:val="0"/>
          <w:sz w:val="24"/>
          <w:szCs w:val="24"/>
          <w:highlight w:val="none"/>
        </w:rPr>
        <w:t>号）等相关规定、以及本项目招标（采购）文件的规定，现自愿做出如下承诺：</w:t>
      </w:r>
    </w:p>
    <w:p w14:paraId="323EA2B4">
      <w:pPr>
        <w:widowControl/>
        <w:snapToGrid w:val="0"/>
        <w:ind w:firstLine="480" w:firstLineChars="200"/>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w:t>
      </w:r>
      <w:r>
        <w:rPr>
          <w:rFonts w:ascii="Times New Roman" w:hAnsi="Times New Roman"/>
          <w:color w:val="auto"/>
          <w:kern w:val="0"/>
          <w:sz w:val="24"/>
          <w:szCs w:val="24"/>
          <w:highlight w:val="none"/>
        </w:rPr>
        <w:t>1</w:t>
      </w:r>
      <w:r>
        <w:rPr>
          <w:rFonts w:hint="eastAsia" w:ascii="Times New Roman" w:hAnsi="Times New Roman"/>
          <w:color w:val="auto"/>
          <w:kern w:val="0"/>
          <w:sz w:val="24"/>
          <w:szCs w:val="24"/>
          <w:highlight w:val="none"/>
        </w:rPr>
        <w:t>）承诺严格遵守《中华人民共和国政府采购法》等相关法律法规规定；</w:t>
      </w:r>
    </w:p>
    <w:p w14:paraId="48661A89">
      <w:pPr>
        <w:widowControl/>
        <w:snapToGrid w:val="0"/>
        <w:ind w:firstLine="480" w:firstLineChars="200"/>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w:t>
      </w:r>
      <w:r>
        <w:rPr>
          <w:rFonts w:ascii="Times New Roman" w:hAnsi="Times New Roman"/>
          <w:color w:val="auto"/>
          <w:kern w:val="0"/>
          <w:sz w:val="24"/>
          <w:szCs w:val="24"/>
          <w:highlight w:val="none"/>
        </w:rPr>
        <w:t>2</w:t>
      </w:r>
      <w:r>
        <w:rPr>
          <w:rFonts w:hint="eastAsia" w:ascii="Times New Roman" w:hAnsi="Times New Roman"/>
          <w:color w:val="auto"/>
          <w:kern w:val="0"/>
          <w:sz w:val="24"/>
          <w:szCs w:val="24"/>
          <w:highlight w:val="none"/>
        </w:rPr>
        <w:t>）承诺在诚信库入库及参与政府采购活动中所提供的全部资料真实有效，如有虚假资料情况，将主动放弃中标权利，并承担由此给采购人造成的法律责任及经济损失。如有违反，采购人有权随时单方面提出解除合同，且不需做任何经济补偿、赔偿；</w:t>
      </w:r>
    </w:p>
    <w:p w14:paraId="380F2240">
      <w:pPr>
        <w:widowControl/>
        <w:snapToGrid w:val="0"/>
        <w:ind w:firstLine="480" w:firstLineChars="200"/>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w:t>
      </w:r>
      <w:r>
        <w:rPr>
          <w:rFonts w:ascii="Times New Roman" w:hAnsi="Times New Roman"/>
          <w:color w:val="auto"/>
          <w:kern w:val="0"/>
          <w:sz w:val="24"/>
          <w:szCs w:val="24"/>
          <w:highlight w:val="none"/>
        </w:rPr>
        <w:t>3</w:t>
      </w:r>
      <w:r>
        <w:rPr>
          <w:rFonts w:hint="eastAsia" w:ascii="Times New Roman" w:hAnsi="Times New Roman"/>
          <w:color w:val="auto"/>
          <w:kern w:val="0"/>
          <w:sz w:val="24"/>
          <w:szCs w:val="24"/>
          <w:highlight w:val="none"/>
        </w:rPr>
        <w:t>）承诺如我方中标，保证严格按照采购文件、响应文件、附件等资料内容履行相关义务，保证质量符合贵单位的采购需求，否则，将承担相应法律责任并无条件接受退货且不需要任何经济补偿、赔偿。</w:t>
      </w:r>
    </w:p>
    <w:p w14:paraId="65201898">
      <w:pPr>
        <w:widowControl/>
        <w:snapToGrid w:val="0"/>
        <w:ind w:firstLine="480" w:firstLineChars="200"/>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我方有以下违法行为的，采购人有权取消我方中标资格，且我方自愿接受采购人按法律法规及采购文件规定给予的相应处罚：如由财政部门列入不良行为记录名单，禁止参加政府采购活动、承担相应法律责任等，并纳入统一的信用信息平台。</w:t>
      </w:r>
    </w:p>
    <w:p w14:paraId="50B5D9B8">
      <w:pPr>
        <w:widowControl/>
        <w:snapToGrid w:val="0"/>
        <w:ind w:firstLine="480" w:firstLineChars="200"/>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w:t>
      </w:r>
      <w:r>
        <w:rPr>
          <w:rFonts w:ascii="Times New Roman" w:hAnsi="Times New Roman"/>
          <w:color w:val="auto"/>
          <w:kern w:val="0"/>
          <w:sz w:val="24"/>
          <w:szCs w:val="24"/>
          <w:highlight w:val="none"/>
        </w:rPr>
        <w:t>1</w:t>
      </w:r>
      <w:r>
        <w:rPr>
          <w:rFonts w:hint="eastAsia" w:ascii="Times New Roman" w:hAnsi="Times New Roman"/>
          <w:color w:val="auto"/>
          <w:kern w:val="0"/>
          <w:sz w:val="24"/>
          <w:szCs w:val="24"/>
          <w:highlight w:val="none"/>
        </w:rPr>
        <w:t>）在采购文件规定的采购有效期内未经采购人书面许可撤回响应文件的；</w:t>
      </w:r>
    </w:p>
    <w:p w14:paraId="6C84908D">
      <w:pPr>
        <w:widowControl/>
        <w:snapToGrid w:val="0"/>
        <w:ind w:firstLine="480" w:firstLineChars="200"/>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w:t>
      </w:r>
      <w:r>
        <w:rPr>
          <w:rFonts w:ascii="Times New Roman" w:hAnsi="Times New Roman"/>
          <w:color w:val="auto"/>
          <w:kern w:val="0"/>
          <w:sz w:val="24"/>
          <w:szCs w:val="24"/>
          <w:highlight w:val="none"/>
        </w:rPr>
        <w:t>2</w:t>
      </w:r>
      <w:r>
        <w:rPr>
          <w:rFonts w:hint="eastAsia" w:ascii="Times New Roman" w:hAnsi="Times New Roman"/>
          <w:color w:val="auto"/>
          <w:kern w:val="0"/>
          <w:sz w:val="24"/>
          <w:szCs w:val="24"/>
          <w:highlight w:val="none"/>
        </w:rPr>
        <w:t>）中标后未在采购文件规定的时间内领取中标通知书或领取中标通知书后无正当理由拒不与采购人签订政府采购合同的；</w:t>
      </w:r>
    </w:p>
    <w:p w14:paraId="69DC68D8">
      <w:pPr>
        <w:widowControl/>
        <w:snapToGrid w:val="0"/>
        <w:ind w:firstLine="480" w:firstLineChars="200"/>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w:t>
      </w:r>
      <w:r>
        <w:rPr>
          <w:rFonts w:ascii="Times New Roman" w:hAnsi="Times New Roman"/>
          <w:color w:val="auto"/>
          <w:kern w:val="0"/>
          <w:sz w:val="24"/>
          <w:szCs w:val="24"/>
          <w:highlight w:val="none"/>
        </w:rPr>
        <w:t>3</w:t>
      </w:r>
      <w:r>
        <w:rPr>
          <w:rFonts w:hint="eastAsia" w:ascii="Times New Roman" w:hAnsi="Times New Roman"/>
          <w:color w:val="auto"/>
          <w:kern w:val="0"/>
          <w:sz w:val="24"/>
          <w:szCs w:val="24"/>
          <w:highlight w:val="none"/>
        </w:rPr>
        <w:t>）在诚信库入库、参与投标过程中提供虚假材料、恶意串通、捏造事实或者以非法手段取得证明材料进行质疑、投诉的；</w:t>
      </w:r>
    </w:p>
    <w:p w14:paraId="25E8CD74">
      <w:pPr>
        <w:widowControl/>
        <w:snapToGrid w:val="0"/>
        <w:ind w:firstLine="480" w:firstLineChars="200"/>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w:t>
      </w:r>
      <w:r>
        <w:rPr>
          <w:rFonts w:ascii="Times New Roman" w:hAnsi="Times New Roman"/>
          <w:color w:val="auto"/>
          <w:kern w:val="0"/>
          <w:sz w:val="24"/>
          <w:szCs w:val="24"/>
          <w:highlight w:val="none"/>
        </w:rPr>
        <w:t>4</w:t>
      </w:r>
      <w:r>
        <w:rPr>
          <w:rFonts w:hint="eastAsia" w:ascii="Times New Roman" w:hAnsi="Times New Roman"/>
          <w:color w:val="auto"/>
          <w:kern w:val="0"/>
          <w:sz w:val="24"/>
          <w:szCs w:val="24"/>
          <w:highlight w:val="none"/>
        </w:rPr>
        <w:t>）违反法律法规及采购文件规定的其他情形。</w:t>
      </w:r>
    </w:p>
    <w:p w14:paraId="141571B7">
      <w:pPr>
        <w:spacing w:line="460" w:lineRule="exac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供应商：</w:t>
      </w:r>
      <w:r>
        <w:rPr>
          <w:rFonts w:ascii="Times New Roman" w:hAnsi="Times New Roman"/>
          <w:color w:val="auto"/>
          <w:sz w:val="24"/>
          <w:szCs w:val="24"/>
          <w:highlight w:val="none"/>
          <w:u w:val="single"/>
          <w:shd w:val="clear" w:color="auto" w:fill="FFFFFF"/>
          <w:lang w:bidi="ar"/>
        </w:rPr>
        <w:t xml:space="preserve">                     </w:t>
      </w:r>
      <w:r>
        <w:rPr>
          <w:rFonts w:ascii="Times New Roman" w:hAnsi="Times New Roman"/>
          <w:color w:val="auto"/>
          <w:sz w:val="24"/>
          <w:szCs w:val="24"/>
          <w:highlight w:val="none"/>
          <w:shd w:val="clear" w:color="auto" w:fill="FFFFFF"/>
          <w:lang w:bidi="ar"/>
        </w:rPr>
        <w:t>(</w:t>
      </w:r>
      <w:r>
        <w:rPr>
          <w:rFonts w:hint="eastAsia" w:ascii="Times New Roman" w:hAnsi="Times New Roman"/>
          <w:color w:val="auto"/>
          <w:sz w:val="24"/>
          <w:szCs w:val="24"/>
          <w:highlight w:val="none"/>
          <w:shd w:val="clear" w:color="auto" w:fill="FFFFFF"/>
          <w:lang w:bidi="ar"/>
        </w:rPr>
        <w:t>电子签章</w:t>
      </w:r>
      <w:r>
        <w:rPr>
          <w:rFonts w:ascii="Times New Roman" w:hAnsi="Times New Roman"/>
          <w:color w:val="auto"/>
          <w:sz w:val="24"/>
          <w:szCs w:val="24"/>
          <w:highlight w:val="none"/>
          <w:shd w:val="clear" w:color="auto" w:fill="FFFFFF"/>
          <w:lang w:bidi="ar"/>
        </w:rPr>
        <w:t xml:space="preserve">) </w:t>
      </w:r>
    </w:p>
    <w:p w14:paraId="54552E0B">
      <w:pPr>
        <w:spacing w:line="460" w:lineRule="exac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法定代表人</w:t>
      </w:r>
      <w:r>
        <w:rPr>
          <w:rFonts w:ascii="Times New Roman" w:hAnsi="Times New Roman"/>
          <w:color w:val="auto"/>
          <w:sz w:val="24"/>
          <w:szCs w:val="24"/>
          <w:highlight w:val="none"/>
          <w:shd w:val="clear" w:color="auto" w:fill="FFFFFF"/>
          <w:lang w:bidi="ar"/>
        </w:rPr>
        <w:t xml:space="preserve"> </w:t>
      </w:r>
      <w:r>
        <w:rPr>
          <w:rFonts w:hint="eastAsia" w:ascii="Times New Roman" w:hAnsi="Times New Roman"/>
          <w:color w:val="auto"/>
          <w:sz w:val="24"/>
          <w:szCs w:val="24"/>
          <w:highlight w:val="none"/>
          <w:shd w:val="clear" w:color="auto" w:fill="FFFFFF"/>
          <w:lang w:bidi="ar"/>
        </w:rPr>
        <w:t>：</w:t>
      </w:r>
      <w:r>
        <w:rPr>
          <w:rFonts w:ascii="Times New Roman" w:hAnsi="Times New Roman"/>
          <w:color w:val="auto"/>
          <w:sz w:val="24"/>
          <w:szCs w:val="24"/>
          <w:highlight w:val="none"/>
          <w:u w:val="single"/>
          <w:shd w:val="clear" w:color="auto" w:fill="FFFFFF"/>
          <w:lang w:bidi="ar"/>
        </w:rPr>
        <w:t xml:space="preserve">      </w:t>
      </w:r>
      <w:r>
        <w:rPr>
          <w:rFonts w:hint="eastAsia" w:ascii="Times New Roman" w:hAnsi="Times New Roman"/>
          <w:color w:val="auto"/>
          <w:sz w:val="24"/>
          <w:szCs w:val="24"/>
          <w:highlight w:val="none"/>
          <w:u w:val="single"/>
          <w:shd w:val="clear" w:color="auto" w:fill="FFFFFF"/>
          <w:lang w:bidi="ar"/>
        </w:rPr>
        <w:t xml:space="preserve">        </w:t>
      </w:r>
      <w:r>
        <w:rPr>
          <w:rFonts w:ascii="Times New Roman" w:hAnsi="Times New Roman"/>
          <w:color w:val="auto"/>
          <w:sz w:val="24"/>
          <w:szCs w:val="24"/>
          <w:highlight w:val="none"/>
          <w:u w:val="single"/>
          <w:shd w:val="clear" w:color="auto" w:fill="FFFFFF"/>
          <w:lang w:bidi="ar"/>
        </w:rPr>
        <w:t xml:space="preserve">  </w:t>
      </w:r>
      <w:r>
        <w:rPr>
          <w:rFonts w:ascii="Times New Roman" w:hAnsi="Times New Roman"/>
          <w:color w:val="auto"/>
          <w:sz w:val="24"/>
          <w:szCs w:val="24"/>
          <w:highlight w:val="none"/>
          <w:shd w:val="clear" w:color="auto" w:fill="FFFFFF"/>
          <w:lang w:bidi="ar"/>
        </w:rPr>
        <w:t>(</w:t>
      </w:r>
      <w:r>
        <w:rPr>
          <w:rFonts w:hint="eastAsia" w:ascii="Times New Roman" w:hAnsi="Times New Roman"/>
          <w:color w:val="auto"/>
          <w:sz w:val="24"/>
          <w:szCs w:val="24"/>
          <w:highlight w:val="none"/>
          <w:shd w:val="clear" w:color="auto" w:fill="FFFFFF"/>
          <w:lang w:bidi="ar"/>
        </w:rPr>
        <w:t>电子签章</w:t>
      </w:r>
      <w:r>
        <w:rPr>
          <w:rFonts w:ascii="Times New Roman" w:hAnsi="Times New Roman"/>
          <w:color w:val="auto"/>
          <w:sz w:val="24"/>
          <w:szCs w:val="24"/>
          <w:highlight w:val="none"/>
          <w:shd w:val="clear" w:color="auto" w:fill="FFFFFF"/>
          <w:lang w:bidi="ar"/>
        </w:rPr>
        <w:t xml:space="preserve">) </w:t>
      </w:r>
    </w:p>
    <w:p w14:paraId="3B498329">
      <w:pPr>
        <w:spacing w:line="460" w:lineRule="exac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日</w:t>
      </w:r>
      <w:r>
        <w:rPr>
          <w:rFonts w:ascii="Times New Roman" w:hAnsi="Times New Roman"/>
          <w:color w:val="auto"/>
          <w:sz w:val="24"/>
          <w:szCs w:val="24"/>
          <w:highlight w:val="none"/>
          <w:shd w:val="clear" w:color="auto" w:fill="FFFFFF"/>
          <w:lang w:bidi="ar"/>
        </w:rPr>
        <w:t xml:space="preserve">       </w:t>
      </w:r>
      <w:r>
        <w:rPr>
          <w:rFonts w:hint="eastAsia" w:ascii="Times New Roman" w:hAnsi="Times New Roman"/>
          <w:color w:val="auto"/>
          <w:sz w:val="24"/>
          <w:szCs w:val="24"/>
          <w:highlight w:val="none"/>
          <w:shd w:val="clear" w:color="auto" w:fill="FFFFFF"/>
          <w:lang w:bidi="ar"/>
        </w:rPr>
        <w:t>期：</w:t>
      </w:r>
      <w:r>
        <w:rPr>
          <w:rFonts w:ascii="Times New Roman" w:hAnsi="Times New Roman"/>
          <w:color w:val="auto"/>
          <w:sz w:val="24"/>
          <w:szCs w:val="24"/>
          <w:highlight w:val="none"/>
          <w:u w:val="single"/>
          <w:shd w:val="clear" w:color="auto" w:fill="FFFFFF"/>
          <w:lang w:bidi="ar"/>
        </w:rPr>
        <w:t xml:space="preserve">         </w:t>
      </w:r>
      <w:r>
        <w:rPr>
          <w:rFonts w:hint="eastAsia" w:ascii="Times New Roman" w:hAnsi="Times New Roman"/>
          <w:color w:val="auto"/>
          <w:sz w:val="24"/>
          <w:szCs w:val="24"/>
          <w:highlight w:val="none"/>
          <w:shd w:val="clear" w:color="auto" w:fill="FFFFFF"/>
          <w:lang w:bidi="ar"/>
        </w:rPr>
        <w:t>年</w:t>
      </w:r>
      <w:r>
        <w:rPr>
          <w:rFonts w:ascii="Times New Roman" w:hAnsi="Times New Roman"/>
          <w:color w:val="auto"/>
          <w:sz w:val="24"/>
          <w:szCs w:val="24"/>
          <w:highlight w:val="none"/>
          <w:shd w:val="clear" w:color="auto" w:fill="FFFFFF"/>
          <w:lang w:bidi="ar"/>
        </w:rPr>
        <w:t xml:space="preserve"> </w:t>
      </w:r>
      <w:r>
        <w:rPr>
          <w:rFonts w:ascii="Times New Roman" w:hAnsi="Times New Roman"/>
          <w:color w:val="auto"/>
          <w:sz w:val="24"/>
          <w:szCs w:val="24"/>
          <w:highlight w:val="none"/>
          <w:u w:val="single"/>
          <w:shd w:val="clear" w:color="auto" w:fill="FFFFFF"/>
          <w:lang w:bidi="ar"/>
        </w:rPr>
        <w:t xml:space="preserve">    </w:t>
      </w:r>
      <w:r>
        <w:rPr>
          <w:rFonts w:hint="eastAsia" w:ascii="Times New Roman" w:hAnsi="Times New Roman"/>
          <w:color w:val="auto"/>
          <w:sz w:val="24"/>
          <w:szCs w:val="24"/>
          <w:highlight w:val="none"/>
          <w:shd w:val="clear" w:color="auto" w:fill="FFFFFF"/>
          <w:lang w:bidi="ar"/>
        </w:rPr>
        <w:t>月</w:t>
      </w:r>
      <w:r>
        <w:rPr>
          <w:rFonts w:ascii="Times New Roman" w:hAnsi="Times New Roman"/>
          <w:color w:val="auto"/>
          <w:sz w:val="24"/>
          <w:szCs w:val="24"/>
          <w:highlight w:val="none"/>
          <w:u w:val="single"/>
          <w:shd w:val="clear" w:color="auto" w:fill="FFFFFF"/>
          <w:lang w:bidi="ar"/>
        </w:rPr>
        <w:t xml:space="preserve">    </w:t>
      </w:r>
      <w:r>
        <w:rPr>
          <w:rFonts w:hint="eastAsia" w:ascii="Times New Roman" w:hAnsi="Times New Roman"/>
          <w:color w:val="auto"/>
          <w:sz w:val="24"/>
          <w:szCs w:val="24"/>
          <w:highlight w:val="none"/>
          <w:shd w:val="clear" w:color="auto" w:fill="FFFFFF"/>
          <w:lang w:bidi="ar"/>
        </w:rPr>
        <w:t>日</w:t>
      </w:r>
    </w:p>
    <w:p w14:paraId="16905744">
      <w:pPr>
        <w:rPr>
          <w:rFonts w:ascii="Times New Roman" w:hAnsi="Times New Roman"/>
          <w:b/>
          <w:bCs/>
          <w:color w:val="auto"/>
          <w:sz w:val="24"/>
          <w:szCs w:val="24"/>
          <w:highlight w:val="none"/>
          <w:lang w:val="zh-CN" w:bidi="zh-CN"/>
        </w:rPr>
      </w:pPr>
      <w:r>
        <w:rPr>
          <w:rFonts w:ascii="Times New Roman" w:hAnsi="Times New Roman"/>
          <w:b/>
          <w:bCs/>
          <w:color w:val="auto"/>
          <w:sz w:val="24"/>
          <w:szCs w:val="24"/>
          <w:highlight w:val="none"/>
          <w:lang w:val="zh-CN" w:bidi="zh-CN"/>
        </w:rPr>
        <w:br w:type="page"/>
      </w:r>
    </w:p>
    <w:p w14:paraId="61FD1EDE">
      <w:pPr>
        <w:spacing w:line="517" w:lineRule="exact"/>
        <w:ind w:left="277" w:hanging="277" w:hangingChars="115"/>
        <w:jc w:val="center"/>
        <w:outlineLvl w:val="1"/>
        <w:rPr>
          <w:rFonts w:ascii="Times New Roman" w:hAnsi="Times New Roman"/>
          <w:b/>
          <w:bCs/>
          <w:color w:val="auto"/>
          <w:sz w:val="28"/>
          <w:szCs w:val="32"/>
          <w:highlight w:val="none"/>
          <w:lang w:val="zh-CN" w:bidi="zh-CN"/>
        </w:rPr>
      </w:pPr>
      <w:r>
        <w:rPr>
          <w:rFonts w:hint="eastAsia" w:ascii="Times New Roman" w:hAnsi="Times New Roman"/>
          <w:b/>
          <w:bCs/>
          <w:color w:val="auto"/>
          <w:sz w:val="24"/>
          <w:szCs w:val="32"/>
          <w:highlight w:val="none"/>
          <w:lang w:bidi="zh-CN"/>
        </w:rPr>
        <w:t>六</w:t>
      </w:r>
      <w:r>
        <w:rPr>
          <w:rFonts w:hint="eastAsia" w:ascii="Times New Roman" w:hAnsi="Times New Roman"/>
          <w:b/>
          <w:bCs/>
          <w:color w:val="auto"/>
          <w:sz w:val="28"/>
          <w:szCs w:val="32"/>
          <w:highlight w:val="none"/>
          <w:lang w:val="zh-CN" w:bidi="zh-CN"/>
        </w:rPr>
        <w:t>、商务偏差表</w:t>
      </w:r>
      <w:bookmarkEnd w:id="491"/>
      <w:bookmarkEnd w:id="492"/>
      <w:bookmarkStart w:id="493" w:name="_Toc479341621"/>
      <w:bookmarkStart w:id="494" w:name="_Toc517338640"/>
      <w:bookmarkStart w:id="495" w:name="_Toc523783977"/>
      <w:bookmarkStart w:id="496" w:name="_Toc508113566"/>
      <w:bookmarkStart w:id="497" w:name="_Toc508873165"/>
    </w:p>
    <w:bookmarkEnd w:id="493"/>
    <w:bookmarkEnd w:id="494"/>
    <w:bookmarkEnd w:id="495"/>
    <w:bookmarkEnd w:id="496"/>
    <w:bookmarkEnd w:id="497"/>
    <w:p w14:paraId="0E0633CF">
      <w:pPr>
        <w:spacing w:line="517" w:lineRule="exact"/>
        <w:outlineLvl w:val="1"/>
        <w:rPr>
          <w:rFonts w:ascii="Times New Roman" w:hAnsi="Times New Roman"/>
          <w:b/>
          <w:bCs/>
          <w:color w:val="auto"/>
          <w:sz w:val="24"/>
          <w:szCs w:val="32"/>
          <w:highlight w:val="none"/>
          <w:lang w:val="zh-CN" w:bidi="zh-CN"/>
        </w:rPr>
      </w:pPr>
      <w:bookmarkStart w:id="498" w:name="_Toc301943533"/>
      <w:bookmarkStart w:id="499" w:name="_Toc479341623"/>
      <w:r>
        <w:rPr>
          <w:rFonts w:hint="eastAsia" w:ascii="Times New Roman" w:hAnsi="Times New Roman"/>
          <w:b/>
          <w:bCs/>
          <w:color w:val="auto"/>
          <w:sz w:val="24"/>
          <w:szCs w:val="32"/>
          <w:highlight w:val="none"/>
          <w:lang w:bidi="zh-CN"/>
        </w:rPr>
        <w:t>6.1</w:t>
      </w:r>
      <w:r>
        <w:rPr>
          <w:rFonts w:hint="eastAsia" w:ascii="Times New Roman" w:hAnsi="Times New Roman"/>
          <w:b/>
          <w:bCs/>
          <w:color w:val="auto"/>
          <w:sz w:val="24"/>
          <w:szCs w:val="32"/>
          <w:highlight w:val="none"/>
          <w:lang w:val="zh-CN" w:bidi="zh-CN"/>
        </w:rPr>
        <w:t>、投标报价明细表</w:t>
      </w:r>
    </w:p>
    <w:p w14:paraId="55B9C5E6">
      <w:pPr>
        <w:spacing w:line="517" w:lineRule="exact"/>
        <w:outlineLvl w:val="1"/>
        <w:rPr>
          <w:rFonts w:ascii="Times New Roman" w:hAnsi="Times New Roman"/>
          <w:color w:val="auto"/>
          <w:sz w:val="24"/>
          <w:szCs w:val="32"/>
          <w:highlight w:val="none"/>
          <w:lang w:val="zh-CN" w:bidi="zh-CN"/>
        </w:rPr>
      </w:pPr>
      <w:r>
        <w:rPr>
          <w:rFonts w:hint="eastAsia" w:ascii="Times New Roman" w:hAnsi="Times New Roman"/>
          <w:color w:val="auto"/>
          <w:sz w:val="24"/>
          <w:szCs w:val="32"/>
          <w:highlight w:val="none"/>
          <w:lang w:val="zh-CN" w:bidi="zh-CN"/>
        </w:rPr>
        <w:t>项目编号：</w:t>
      </w:r>
    </w:p>
    <w:p w14:paraId="6F667843">
      <w:pPr>
        <w:spacing w:line="517" w:lineRule="exact"/>
        <w:outlineLvl w:val="1"/>
        <w:rPr>
          <w:rFonts w:ascii="Times New Roman" w:hAnsi="Times New Roman"/>
          <w:color w:val="auto"/>
          <w:sz w:val="24"/>
          <w:szCs w:val="32"/>
          <w:highlight w:val="none"/>
          <w:lang w:val="zh-CN" w:bidi="zh-CN"/>
        </w:rPr>
      </w:pPr>
      <w:r>
        <w:rPr>
          <w:rFonts w:hint="eastAsia" w:ascii="Times New Roman" w:hAnsi="Times New Roman"/>
          <w:color w:val="auto"/>
          <w:sz w:val="24"/>
          <w:szCs w:val="32"/>
          <w:highlight w:val="none"/>
          <w:lang w:val="zh-CN" w:bidi="zh-CN"/>
        </w:rPr>
        <w:t>项目名称：</w:t>
      </w:r>
    </w:p>
    <w:tbl>
      <w:tblPr>
        <w:tblStyle w:val="1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1258"/>
        <w:gridCol w:w="841"/>
        <w:gridCol w:w="981"/>
        <w:gridCol w:w="841"/>
        <w:gridCol w:w="842"/>
        <w:gridCol w:w="1130"/>
        <w:gridCol w:w="1130"/>
        <w:gridCol w:w="1120"/>
      </w:tblGrid>
      <w:tr w14:paraId="474FC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817" w:type="dxa"/>
            <w:vAlign w:val="center"/>
          </w:tcPr>
          <w:p w14:paraId="7988F647">
            <w:pPr>
              <w:spacing w:line="276" w:lineRule="auto"/>
              <w:jc w:val="center"/>
              <w:rPr>
                <w:rFonts w:ascii="Times New Roman" w:hAnsi="Times New Roman"/>
                <w:color w:val="auto"/>
                <w:kern w:val="0"/>
                <w:sz w:val="24"/>
                <w:szCs w:val="24"/>
                <w:highlight w:val="none"/>
                <w:lang w:bidi="ar"/>
              </w:rPr>
            </w:pPr>
            <w:r>
              <w:rPr>
                <w:rFonts w:hint="eastAsia" w:ascii="Times New Roman" w:hAnsi="Times New Roman"/>
                <w:color w:val="auto"/>
                <w:kern w:val="0"/>
                <w:sz w:val="24"/>
                <w:szCs w:val="24"/>
                <w:highlight w:val="none"/>
                <w:lang w:bidi="ar"/>
              </w:rPr>
              <w:t>序号</w:t>
            </w:r>
          </w:p>
        </w:tc>
        <w:tc>
          <w:tcPr>
            <w:tcW w:w="1276" w:type="dxa"/>
            <w:vAlign w:val="center"/>
          </w:tcPr>
          <w:p w14:paraId="07B86089">
            <w:pPr>
              <w:spacing w:line="276" w:lineRule="auto"/>
              <w:jc w:val="center"/>
              <w:rPr>
                <w:rFonts w:ascii="Times New Roman" w:hAnsi="Times New Roman"/>
                <w:color w:val="auto"/>
                <w:kern w:val="0"/>
                <w:sz w:val="24"/>
                <w:szCs w:val="24"/>
                <w:highlight w:val="none"/>
                <w:lang w:bidi="ar"/>
              </w:rPr>
            </w:pPr>
            <w:r>
              <w:rPr>
                <w:rFonts w:hint="eastAsia" w:ascii="Times New Roman" w:hAnsi="Times New Roman"/>
                <w:color w:val="auto"/>
                <w:kern w:val="0"/>
                <w:sz w:val="24"/>
                <w:szCs w:val="24"/>
                <w:highlight w:val="none"/>
                <w:lang w:bidi="ar"/>
              </w:rPr>
              <w:t>名称</w:t>
            </w:r>
          </w:p>
        </w:tc>
        <w:tc>
          <w:tcPr>
            <w:tcW w:w="850" w:type="dxa"/>
            <w:vAlign w:val="center"/>
          </w:tcPr>
          <w:p w14:paraId="1B37ABAC">
            <w:pPr>
              <w:spacing w:line="276" w:lineRule="auto"/>
              <w:jc w:val="center"/>
              <w:rPr>
                <w:rFonts w:ascii="Times New Roman" w:hAnsi="Times New Roman"/>
                <w:color w:val="auto"/>
                <w:kern w:val="0"/>
                <w:sz w:val="24"/>
                <w:szCs w:val="24"/>
                <w:highlight w:val="none"/>
                <w:lang w:bidi="ar"/>
              </w:rPr>
            </w:pPr>
            <w:r>
              <w:rPr>
                <w:rFonts w:hint="eastAsia" w:ascii="Times New Roman" w:hAnsi="Times New Roman"/>
                <w:color w:val="auto"/>
                <w:kern w:val="0"/>
                <w:sz w:val="24"/>
                <w:szCs w:val="24"/>
                <w:highlight w:val="none"/>
                <w:lang w:bidi="ar"/>
              </w:rPr>
              <w:t>品牌</w:t>
            </w:r>
          </w:p>
        </w:tc>
        <w:tc>
          <w:tcPr>
            <w:tcW w:w="993" w:type="dxa"/>
            <w:vAlign w:val="center"/>
          </w:tcPr>
          <w:p w14:paraId="741B2F6E">
            <w:pPr>
              <w:spacing w:line="276" w:lineRule="auto"/>
              <w:jc w:val="center"/>
              <w:rPr>
                <w:rFonts w:ascii="Times New Roman" w:hAnsi="Times New Roman"/>
                <w:color w:val="auto"/>
                <w:kern w:val="0"/>
                <w:sz w:val="24"/>
                <w:szCs w:val="24"/>
                <w:highlight w:val="none"/>
                <w:lang w:bidi="ar"/>
              </w:rPr>
            </w:pPr>
            <w:r>
              <w:rPr>
                <w:rFonts w:hint="eastAsia" w:ascii="Times New Roman" w:hAnsi="Times New Roman"/>
                <w:color w:val="auto"/>
                <w:kern w:val="0"/>
                <w:sz w:val="24"/>
                <w:szCs w:val="24"/>
                <w:highlight w:val="none"/>
                <w:lang w:bidi="ar"/>
              </w:rPr>
              <w:t>制造商</w:t>
            </w:r>
          </w:p>
        </w:tc>
        <w:tc>
          <w:tcPr>
            <w:tcW w:w="850" w:type="dxa"/>
            <w:vAlign w:val="center"/>
          </w:tcPr>
          <w:p w14:paraId="6071496F">
            <w:pPr>
              <w:spacing w:line="276" w:lineRule="auto"/>
              <w:jc w:val="center"/>
              <w:rPr>
                <w:rFonts w:ascii="Times New Roman" w:hAnsi="Times New Roman"/>
                <w:color w:val="auto"/>
                <w:kern w:val="0"/>
                <w:sz w:val="24"/>
                <w:szCs w:val="24"/>
                <w:highlight w:val="none"/>
                <w:lang w:bidi="ar"/>
              </w:rPr>
            </w:pPr>
            <w:r>
              <w:rPr>
                <w:rFonts w:hint="eastAsia" w:ascii="Times New Roman" w:hAnsi="Times New Roman"/>
                <w:color w:val="auto"/>
                <w:kern w:val="0"/>
                <w:sz w:val="24"/>
                <w:szCs w:val="24"/>
                <w:highlight w:val="none"/>
                <w:lang w:bidi="ar"/>
              </w:rPr>
              <w:t>数量</w:t>
            </w:r>
          </w:p>
        </w:tc>
        <w:tc>
          <w:tcPr>
            <w:tcW w:w="851" w:type="dxa"/>
            <w:vAlign w:val="center"/>
          </w:tcPr>
          <w:p w14:paraId="63A52579">
            <w:pPr>
              <w:spacing w:line="276" w:lineRule="auto"/>
              <w:jc w:val="center"/>
              <w:rPr>
                <w:rFonts w:ascii="Times New Roman" w:hAnsi="Times New Roman"/>
                <w:color w:val="auto"/>
                <w:kern w:val="0"/>
                <w:sz w:val="24"/>
                <w:szCs w:val="24"/>
                <w:highlight w:val="none"/>
                <w:lang w:bidi="ar"/>
              </w:rPr>
            </w:pPr>
            <w:r>
              <w:rPr>
                <w:rFonts w:hint="eastAsia" w:ascii="Times New Roman" w:hAnsi="Times New Roman"/>
                <w:color w:val="auto"/>
                <w:kern w:val="0"/>
                <w:sz w:val="24"/>
                <w:szCs w:val="24"/>
                <w:highlight w:val="none"/>
                <w:lang w:bidi="ar"/>
              </w:rPr>
              <w:t>单位</w:t>
            </w:r>
          </w:p>
        </w:tc>
        <w:tc>
          <w:tcPr>
            <w:tcW w:w="1134" w:type="dxa"/>
            <w:vAlign w:val="center"/>
          </w:tcPr>
          <w:p w14:paraId="2EA45993">
            <w:pPr>
              <w:spacing w:line="276" w:lineRule="auto"/>
              <w:jc w:val="center"/>
              <w:rPr>
                <w:rFonts w:ascii="Times New Roman" w:hAnsi="Times New Roman"/>
                <w:color w:val="auto"/>
                <w:kern w:val="0"/>
                <w:sz w:val="24"/>
                <w:szCs w:val="24"/>
                <w:highlight w:val="none"/>
                <w:lang w:bidi="ar"/>
              </w:rPr>
            </w:pPr>
            <w:r>
              <w:rPr>
                <w:rFonts w:hint="eastAsia" w:ascii="Times New Roman" w:hAnsi="Times New Roman"/>
                <w:color w:val="auto"/>
                <w:kern w:val="0"/>
                <w:sz w:val="24"/>
                <w:szCs w:val="24"/>
                <w:highlight w:val="none"/>
                <w:lang w:bidi="ar"/>
              </w:rPr>
              <w:t>单价（元）</w:t>
            </w:r>
          </w:p>
        </w:tc>
        <w:tc>
          <w:tcPr>
            <w:tcW w:w="1134" w:type="dxa"/>
            <w:vAlign w:val="center"/>
          </w:tcPr>
          <w:p w14:paraId="4E237635">
            <w:pPr>
              <w:spacing w:line="276" w:lineRule="auto"/>
              <w:jc w:val="center"/>
              <w:rPr>
                <w:rFonts w:ascii="Times New Roman" w:hAnsi="Times New Roman"/>
                <w:color w:val="auto"/>
                <w:kern w:val="0"/>
                <w:sz w:val="24"/>
                <w:szCs w:val="24"/>
                <w:highlight w:val="none"/>
                <w:lang w:bidi="ar"/>
              </w:rPr>
            </w:pPr>
            <w:r>
              <w:rPr>
                <w:rFonts w:hint="eastAsia" w:ascii="Times New Roman" w:hAnsi="Times New Roman"/>
                <w:color w:val="auto"/>
                <w:kern w:val="0"/>
                <w:sz w:val="24"/>
                <w:szCs w:val="24"/>
                <w:highlight w:val="none"/>
                <w:lang w:bidi="ar"/>
              </w:rPr>
              <w:t>合价（元）</w:t>
            </w:r>
          </w:p>
        </w:tc>
        <w:tc>
          <w:tcPr>
            <w:tcW w:w="1134" w:type="dxa"/>
            <w:vAlign w:val="center"/>
          </w:tcPr>
          <w:p w14:paraId="1E6F0C68">
            <w:pPr>
              <w:spacing w:line="276" w:lineRule="auto"/>
              <w:jc w:val="center"/>
              <w:rPr>
                <w:rFonts w:ascii="Times New Roman" w:hAnsi="Times New Roman"/>
                <w:color w:val="auto"/>
                <w:kern w:val="0"/>
                <w:sz w:val="24"/>
                <w:szCs w:val="24"/>
                <w:highlight w:val="none"/>
                <w:lang w:bidi="ar"/>
              </w:rPr>
            </w:pPr>
            <w:r>
              <w:rPr>
                <w:rFonts w:hint="eastAsia" w:ascii="Times New Roman" w:hAnsi="Times New Roman"/>
                <w:color w:val="auto"/>
                <w:kern w:val="0"/>
                <w:sz w:val="24"/>
                <w:szCs w:val="24"/>
                <w:highlight w:val="none"/>
                <w:lang w:bidi="ar"/>
              </w:rPr>
              <w:t>其他</w:t>
            </w:r>
          </w:p>
        </w:tc>
      </w:tr>
      <w:tr w14:paraId="0948F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817" w:type="dxa"/>
            <w:vAlign w:val="center"/>
          </w:tcPr>
          <w:p w14:paraId="36DB0031">
            <w:pPr>
              <w:spacing w:line="360" w:lineRule="auto"/>
              <w:jc w:val="center"/>
              <w:rPr>
                <w:rFonts w:ascii="Times New Roman" w:hAnsi="Times New Roman"/>
                <w:color w:val="auto"/>
                <w:kern w:val="0"/>
                <w:sz w:val="24"/>
                <w:szCs w:val="24"/>
                <w:highlight w:val="none"/>
                <w:lang w:bidi="ar"/>
              </w:rPr>
            </w:pPr>
            <w:r>
              <w:rPr>
                <w:rFonts w:ascii="Times New Roman" w:hAnsi="Times New Roman"/>
                <w:color w:val="auto"/>
                <w:kern w:val="0"/>
                <w:sz w:val="24"/>
                <w:szCs w:val="24"/>
                <w:highlight w:val="none"/>
                <w:lang w:bidi="ar"/>
              </w:rPr>
              <w:t>1</w:t>
            </w:r>
          </w:p>
        </w:tc>
        <w:tc>
          <w:tcPr>
            <w:tcW w:w="1276" w:type="dxa"/>
            <w:vAlign w:val="center"/>
          </w:tcPr>
          <w:p w14:paraId="38473C74">
            <w:pPr>
              <w:spacing w:line="360" w:lineRule="auto"/>
              <w:jc w:val="center"/>
              <w:rPr>
                <w:rFonts w:ascii="Times New Roman" w:hAnsi="Times New Roman"/>
                <w:color w:val="auto"/>
                <w:kern w:val="0"/>
                <w:sz w:val="24"/>
                <w:szCs w:val="24"/>
                <w:highlight w:val="none"/>
                <w:lang w:bidi="ar"/>
              </w:rPr>
            </w:pPr>
          </w:p>
        </w:tc>
        <w:tc>
          <w:tcPr>
            <w:tcW w:w="850" w:type="dxa"/>
            <w:vAlign w:val="center"/>
          </w:tcPr>
          <w:p w14:paraId="016903E9">
            <w:pPr>
              <w:spacing w:line="360" w:lineRule="auto"/>
              <w:jc w:val="center"/>
              <w:rPr>
                <w:rFonts w:ascii="Times New Roman" w:hAnsi="Times New Roman"/>
                <w:color w:val="auto"/>
                <w:kern w:val="0"/>
                <w:sz w:val="24"/>
                <w:szCs w:val="24"/>
                <w:highlight w:val="none"/>
                <w:lang w:bidi="ar"/>
              </w:rPr>
            </w:pPr>
          </w:p>
        </w:tc>
        <w:tc>
          <w:tcPr>
            <w:tcW w:w="993" w:type="dxa"/>
            <w:vAlign w:val="center"/>
          </w:tcPr>
          <w:p w14:paraId="79DAB66D">
            <w:pPr>
              <w:spacing w:line="360" w:lineRule="auto"/>
              <w:jc w:val="center"/>
              <w:rPr>
                <w:rFonts w:ascii="Times New Roman" w:hAnsi="Times New Roman"/>
                <w:color w:val="auto"/>
                <w:kern w:val="0"/>
                <w:sz w:val="24"/>
                <w:szCs w:val="24"/>
                <w:highlight w:val="none"/>
                <w:lang w:bidi="ar"/>
              </w:rPr>
            </w:pPr>
          </w:p>
        </w:tc>
        <w:tc>
          <w:tcPr>
            <w:tcW w:w="850" w:type="dxa"/>
            <w:vAlign w:val="center"/>
          </w:tcPr>
          <w:p w14:paraId="0F5BCD96">
            <w:pPr>
              <w:spacing w:line="360" w:lineRule="auto"/>
              <w:jc w:val="center"/>
              <w:rPr>
                <w:rFonts w:ascii="Times New Roman" w:hAnsi="Times New Roman"/>
                <w:color w:val="auto"/>
                <w:kern w:val="0"/>
                <w:sz w:val="24"/>
                <w:szCs w:val="24"/>
                <w:highlight w:val="none"/>
                <w:lang w:bidi="ar"/>
              </w:rPr>
            </w:pPr>
          </w:p>
        </w:tc>
        <w:tc>
          <w:tcPr>
            <w:tcW w:w="851" w:type="dxa"/>
            <w:vAlign w:val="center"/>
          </w:tcPr>
          <w:p w14:paraId="51080CCC">
            <w:pPr>
              <w:spacing w:line="360" w:lineRule="auto"/>
              <w:jc w:val="center"/>
              <w:rPr>
                <w:rFonts w:ascii="Times New Roman" w:hAnsi="Times New Roman"/>
                <w:color w:val="auto"/>
                <w:kern w:val="0"/>
                <w:sz w:val="24"/>
                <w:szCs w:val="24"/>
                <w:highlight w:val="none"/>
                <w:lang w:bidi="ar"/>
              </w:rPr>
            </w:pPr>
          </w:p>
        </w:tc>
        <w:tc>
          <w:tcPr>
            <w:tcW w:w="1134" w:type="dxa"/>
            <w:vAlign w:val="center"/>
          </w:tcPr>
          <w:p w14:paraId="3FD5FF56">
            <w:pPr>
              <w:spacing w:line="360" w:lineRule="auto"/>
              <w:jc w:val="center"/>
              <w:rPr>
                <w:rFonts w:ascii="Times New Roman" w:hAnsi="Times New Roman"/>
                <w:color w:val="auto"/>
                <w:kern w:val="0"/>
                <w:sz w:val="24"/>
                <w:szCs w:val="24"/>
                <w:highlight w:val="none"/>
                <w:lang w:bidi="ar"/>
              </w:rPr>
            </w:pPr>
          </w:p>
        </w:tc>
        <w:tc>
          <w:tcPr>
            <w:tcW w:w="1134" w:type="dxa"/>
            <w:vAlign w:val="center"/>
          </w:tcPr>
          <w:p w14:paraId="2CE05286">
            <w:pPr>
              <w:spacing w:line="360" w:lineRule="auto"/>
              <w:jc w:val="center"/>
              <w:rPr>
                <w:rFonts w:ascii="Times New Roman" w:hAnsi="Times New Roman"/>
                <w:color w:val="auto"/>
                <w:kern w:val="0"/>
                <w:sz w:val="24"/>
                <w:szCs w:val="24"/>
                <w:highlight w:val="none"/>
                <w:lang w:bidi="ar"/>
              </w:rPr>
            </w:pPr>
          </w:p>
        </w:tc>
        <w:tc>
          <w:tcPr>
            <w:tcW w:w="1134" w:type="dxa"/>
            <w:vAlign w:val="center"/>
          </w:tcPr>
          <w:p w14:paraId="6CB1BD1C">
            <w:pPr>
              <w:spacing w:line="360" w:lineRule="auto"/>
              <w:jc w:val="center"/>
              <w:rPr>
                <w:rFonts w:ascii="Times New Roman" w:hAnsi="Times New Roman"/>
                <w:color w:val="auto"/>
                <w:kern w:val="0"/>
                <w:sz w:val="24"/>
                <w:szCs w:val="24"/>
                <w:highlight w:val="none"/>
                <w:lang w:bidi="ar"/>
              </w:rPr>
            </w:pPr>
          </w:p>
        </w:tc>
      </w:tr>
      <w:tr w14:paraId="74ED0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817" w:type="dxa"/>
            <w:vAlign w:val="center"/>
          </w:tcPr>
          <w:p w14:paraId="162D0EA2">
            <w:pPr>
              <w:spacing w:line="360" w:lineRule="auto"/>
              <w:jc w:val="center"/>
              <w:rPr>
                <w:rFonts w:ascii="Times New Roman" w:hAnsi="Times New Roman"/>
                <w:color w:val="auto"/>
                <w:kern w:val="0"/>
                <w:sz w:val="24"/>
                <w:szCs w:val="24"/>
                <w:highlight w:val="none"/>
                <w:lang w:bidi="ar"/>
              </w:rPr>
            </w:pPr>
            <w:r>
              <w:rPr>
                <w:rFonts w:ascii="Times New Roman" w:hAnsi="Times New Roman"/>
                <w:color w:val="auto"/>
                <w:kern w:val="0"/>
                <w:sz w:val="24"/>
                <w:szCs w:val="24"/>
                <w:highlight w:val="none"/>
                <w:lang w:bidi="ar"/>
              </w:rPr>
              <w:t>2</w:t>
            </w:r>
          </w:p>
        </w:tc>
        <w:tc>
          <w:tcPr>
            <w:tcW w:w="1276" w:type="dxa"/>
            <w:vAlign w:val="center"/>
          </w:tcPr>
          <w:p w14:paraId="4D12E15D">
            <w:pPr>
              <w:spacing w:line="360" w:lineRule="auto"/>
              <w:jc w:val="center"/>
              <w:rPr>
                <w:rFonts w:ascii="Times New Roman" w:hAnsi="Times New Roman"/>
                <w:color w:val="auto"/>
                <w:kern w:val="0"/>
                <w:sz w:val="24"/>
                <w:szCs w:val="24"/>
                <w:highlight w:val="none"/>
                <w:lang w:bidi="ar"/>
              </w:rPr>
            </w:pPr>
          </w:p>
        </w:tc>
        <w:tc>
          <w:tcPr>
            <w:tcW w:w="850" w:type="dxa"/>
            <w:vAlign w:val="center"/>
          </w:tcPr>
          <w:p w14:paraId="16989F76">
            <w:pPr>
              <w:spacing w:line="360" w:lineRule="auto"/>
              <w:jc w:val="center"/>
              <w:rPr>
                <w:rFonts w:ascii="Times New Roman" w:hAnsi="Times New Roman"/>
                <w:color w:val="auto"/>
                <w:kern w:val="0"/>
                <w:sz w:val="24"/>
                <w:szCs w:val="24"/>
                <w:highlight w:val="none"/>
                <w:lang w:bidi="ar"/>
              </w:rPr>
            </w:pPr>
          </w:p>
        </w:tc>
        <w:tc>
          <w:tcPr>
            <w:tcW w:w="993" w:type="dxa"/>
            <w:vAlign w:val="center"/>
          </w:tcPr>
          <w:p w14:paraId="23A2641A">
            <w:pPr>
              <w:spacing w:line="360" w:lineRule="auto"/>
              <w:jc w:val="center"/>
              <w:rPr>
                <w:rFonts w:ascii="Times New Roman" w:hAnsi="Times New Roman"/>
                <w:color w:val="auto"/>
                <w:kern w:val="0"/>
                <w:sz w:val="24"/>
                <w:szCs w:val="24"/>
                <w:highlight w:val="none"/>
                <w:lang w:bidi="ar"/>
              </w:rPr>
            </w:pPr>
          </w:p>
        </w:tc>
        <w:tc>
          <w:tcPr>
            <w:tcW w:w="850" w:type="dxa"/>
            <w:vAlign w:val="center"/>
          </w:tcPr>
          <w:p w14:paraId="08997E81">
            <w:pPr>
              <w:spacing w:line="360" w:lineRule="auto"/>
              <w:jc w:val="center"/>
              <w:rPr>
                <w:rFonts w:ascii="Times New Roman" w:hAnsi="Times New Roman"/>
                <w:color w:val="auto"/>
                <w:kern w:val="0"/>
                <w:sz w:val="24"/>
                <w:szCs w:val="24"/>
                <w:highlight w:val="none"/>
                <w:lang w:bidi="ar"/>
              </w:rPr>
            </w:pPr>
          </w:p>
        </w:tc>
        <w:tc>
          <w:tcPr>
            <w:tcW w:w="851" w:type="dxa"/>
            <w:vAlign w:val="center"/>
          </w:tcPr>
          <w:p w14:paraId="586B981C">
            <w:pPr>
              <w:spacing w:line="360" w:lineRule="auto"/>
              <w:jc w:val="center"/>
              <w:rPr>
                <w:rFonts w:ascii="Times New Roman" w:hAnsi="Times New Roman"/>
                <w:color w:val="auto"/>
                <w:kern w:val="0"/>
                <w:sz w:val="24"/>
                <w:szCs w:val="24"/>
                <w:highlight w:val="none"/>
                <w:lang w:bidi="ar"/>
              </w:rPr>
            </w:pPr>
          </w:p>
        </w:tc>
        <w:tc>
          <w:tcPr>
            <w:tcW w:w="1134" w:type="dxa"/>
            <w:vAlign w:val="center"/>
          </w:tcPr>
          <w:p w14:paraId="308103BD">
            <w:pPr>
              <w:spacing w:line="360" w:lineRule="auto"/>
              <w:jc w:val="center"/>
              <w:rPr>
                <w:rFonts w:ascii="Times New Roman" w:hAnsi="Times New Roman"/>
                <w:color w:val="auto"/>
                <w:kern w:val="0"/>
                <w:sz w:val="24"/>
                <w:szCs w:val="24"/>
                <w:highlight w:val="none"/>
                <w:lang w:bidi="ar"/>
              </w:rPr>
            </w:pPr>
          </w:p>
        </w:tc>
        <w:tc>
          <w:tcPr>
            <w:tcW w:w="1134" w:type="dxa"/>
            <w:vAlign w:val="center"/>
          </w:tcPr>
          <w:p w14:paraId="73F7A373">
            <w:pPr>
              <w:spacing w:line="360" w:lineRule="auto"/>
              <w:jc w:val="center"/>
              <w:rPr>
                <w:rFonts w:ascii="Times New Roman" w:hAnsi="Times New Roman"/>
                <w:color w:val="auto"/>
                <w:kern w:val="0"/>
                <w:sz w:val="24"/>
                <w:szCs w:val="24"/>
                <w:highlight w:val="none"/>
                <w:lang w:bidi="ar"/>
              </w:rPr>
            </w:pPr>
          </w:p>
        </w:tc>
        <w:tc>
          <w:tcPr>
            <w:tcW w:w="1134" w:type="dxa"/>
            <w:vAlign w:val="center"/>
          </w:tcPr>
          <w:p w14:paraId="3A50B54A">
            <w:pPr>
              <w:spacing w:line="360" w:lineRule="auto"/>
              <w:jc w:val="center"/>
              <w:rPr>
                <w:rFonts w:ascii="Times New Roman" w:hAnsi="Times New Roman"/>
                <w:color w:val="auto"/>
                <w:kern w:val="0"/>
                <w:sz w:val="24"/>
                <w:szCs w:val="24"/>
                <w:highlight w:val="none"/>
                <w:lang w:bidi="ar"/>
              </w:rPr>
            </w:pPr>
          </w:p>
        </w:tc>
      </w:tr>
      <w:tr w14:paraId="337A0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817" w:type="dxa"/>
            <w:vAlign w:val="center"/>
          </w:tcPr>
          <w:p w14:paraId="7286CEE5">
            <w:pPr>
              <w:spacing w:line="360" w:lineRule="auto"/>
              <w:jc w:val="center"/>
              <w:rPr>
                <w:rFonts w:ascii="Times New Roman" w:hAnsi="Times New Roman"/>
                <w:color w:val="auto"/>
                <w:kern w:val="0"/>
                <w:sz w:val="24"/>
                <w:szCs w:val="24"/>
                <w:highlight w:val="none"/>
                <w:lang w:bidi="ar"/>
              </w:rPr>
            </w:pPr>
            <w:r>
              <w:rPr>
                <w:rFonts w:ascii="Times New Roman" w:hAnsi="Times New Roman"/>
                <w:color w:val="auto"/>
                <w:kern w:val="0"/>
                <w:sz w:val="24"/>
                <w:szCs w:val="24"/>
                <w:highlight w:val="none"/>
                <w:lang w:bidi="ar"/>
              </w:rPr>
              <w:t>3</w:t>
            </w:r>
          </w:p>
        </w:tc>
        <w:tc>
          <w:tcPr>
            <w:tcW w:w="1276" w:type="dxa"/>
            <w:vAlign w:val="center"/>
          </w:tcPr>
          <w:p w14:paraId="6DBD72D1">
            <w:pPr>
              <w:spacing w:line="360" w:lineRule="auto"/>
              <w:jc w:val="center"/>
              <w:rPr>
                <w:rFonts w:ascii="Times New Roman" w:hAnsi="Times New Roman"/>
                <w:color w:val="auto"/>
                <w:kern w:val="0"/>
                <w:sz w:val="24"/>
                <w:szCs w:val="24"/>
                <w:highlight w:val="none"/>
                <w:lang w:bidi="ar"/>
              </w:rPr>
            </w:pPr>
          </w:p>
        </w:tc>
        <w:tc>
          <w:tcPr>
            <w:tcW w:w="850" w:type="dxa"/>
            <w:vAlign w:val="center"/>
          </w:tcPr>
          <w:p w14:paraId="5B1E9395">
            <w:pPr>
              <w:spacing w:line="360" w:lineRule="auto"/>
              <w:jc w:val="center"/>
              <w:rPr>
                <w:rFonts w:ascii="Times New Roman" w:hAnsi="Times New Roman"/>
                <w:color w:val="auto"/>
                <w:kern w:val="0"/>
                <w:sz w:val="24"/>
                <w:szCs w:val="24"/>
                <w:highlight w:val="none"/>
                <w:lang w:bidi="ar"/>
              </w:rPr>
            </w:pPr>
          </w:p>
        </w:tc>
        <w:tc>
          <w:tcPr>
            <w:tcW w:w="993" w:type="dxa"/>
            <w:vAlign w:val="center"/>
          </w:tcPr>
          <w:p w14:paraId="2B21C8C0">
            <w:pPr>
              <w:spacing w:line="360" w:lineRule="auto"/>
              <w:jc w:val="center"/>
              <w:rPr>
                <w:rFonts w:ascii="Times New Roman" w:hAnsi="Times New Roman"/>
                <w:color w:val="auto"/>
                <w:kern w:val="0"/>
                <w:sz w:val="24"/>
                <w:szCs w:val="24"/>
                <w:highlight w:val="none"/>
                <w:lang w:bidi="ar"/>
              </w:rPr>
            </w:pPr>
          </w:p>
        </w:tc>
        <w:tc>
          <w:tcPr>
            <w:tcW w:w="850" w:type="dxa"/>
            <w:vAlign w:val="center"/>
          </w:tcPr>
          <w:p w14:paraId="38DD83C4">
            <w:pPr>
              <w:spacing w:line="360" w:lineRule="auto"/>
              <w:jc w:val="center"/>
              <w:rPr>
                <w:rFonts w:ascii="Times New Roman" w:hAnsi="Times New Roman"/>
                <w:color w:val="auto"/>
                <w:kern w:val="0"/>
                <w:sz w:val="24"/>
                <w:szCs w:val="24"/>
                <w:highlight w:val="none"/>
                <w:lang w:bidi="ar"/>
              </w:rPr>
            </w:pPr>
          </w:p>
        </w:tc>
        <w:tc>
          <w:tcPr>
            <w:tcW w:w="851" w:type="dxa"/>
            <w:vAlign w:val="center"/>
          </w:tcPr>
          <w:p w14:paraId="3EED5232">
            <w:pPr>
              <w:spacing w:line="360" w:lineRule="auto"/>
              <w:jc w:val="center"/>
              <w:rPr>
                <w:rFonts w:ascii="Times New Roman" w:hAnsi="Times New Roman"/>
                <w:color w:val="auto"/>
                <w:kern w:val="0"/>
                <w:sz w:val="24"/>
                <w:szCs w:val="24"/>
                <w:highlight w:val="none"/>
                <w:lang w:bidi="ar"/>
              </w:rPr>
            </w:pPr>
          </w:p>
        </w:tc>
        <w:tc>
          <w:tcPr>
            <w:tcW w:w="1134" w:type="dxa"/>
            <w:vAlign w:val="center"/>
          </w:tcPr>
          <w:p w14:paraId="5BAE187B">
            <w:pPr>
              <w:spacing w:line="360" w:lineRule="auto"/>
              <w:jc w:val="center"/>
              <w:rPr>
                <w:rFonts w:ascii="Times New Roman" w:hAnsi="Times New Roman"/>
                <w:color w:val="auto"/>
                <w:kern w:val="0"/>
                <w:sz w:val="24"/>
                <w:szCs w:val="24"/>
                <w:highlight w:val="none"/>
                <w:lang w:bidi="ar"/>
              </w:rPr>
            </w:pPr>
          </w:p>
        </w:tc>
        <w:tc>
          <w:tcPr>
            <w:tcW w:w="1134" w:type="dxa"/>
            <w:vAlign w:val="center"/>
          </w:tcPr>
          <w:p w14:paraId="5DD5181E">
            <w:pPr>
              <w:spacing w:line="360" w:lineRule="auto"/>
              <w:jc w:val="center"/>
              <w:rPr>
                <w:rFonts w:ascii="Times New Roman" w:hAnsi="Times New Roman"/>
                <w:color w:val="auto"/>
                <w:kern w:val="0"/>
                <w:sz w:val="24"/>
                <w:szCs w:val="24"/>
                <w:highlight w:val="none"/>
                <w:lang w:bidi="ar"/>
              </w:rPr>
            </w:pPr>
          </w:p>
        </w:tc>
        <w:tc>
          <w:tcPr>
            <w:tcW w:w="1134" w:type="dxa"/>
            <w:vAlign w:val="center"/>
          </w:tcPr>
          <w:p w14:paraId="16E33499">
            <w:pPr>
              <w:spacing w:line="360" w:lineRule="auto"/>
              <w:jc w:val="center"/>
              <w:rPr>
                <w:rFonts w:ascii="Times New Roman" w:hAnsi="Times New Roman"/>
                <w:color w:val="auto"/>
                <w:kern w:val="0"/>
                <w:sz w:val="24"/>
                <w:szCs w:val="24"/>
                <w:highlight w:val="none"/>
                <w:lang w:bidi="ar"/>
              </w:rPr>
            </w:pPr>
          </w:p>
        </w:tc>
      </w:tr>
      <w:tr w14:paraId="36A34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817" w:type="dxa"/>
            <w:vAlign w:val="center"/>
          </w:tcPr>
          <w:p w14:paraId="7CC2C2D9">
            <w:pPr>
              <w:spacing w:line="360" w:lineRule="auto"/>
              <w:jc w:val="center"/>
              <w:rPr>
                <w:rFonts w:ascii="Times New Roman" w:hAnsi="Times New Roman"/>
                <w:color w:val="auto"/>
                <w:kern w:val="0"/>
                <w:sz w:val="24"/>
                <w:szCs w:val="24"/>
                <w:highlight w:val="none"/>
                <w:lang w:bidi="ar"/>
              </w:rPr>
            </w:pPr>
            <w:r>
              <w:rPr>
                <w:rFonts w:ascii="Times New Roman" w:hAnsi="Times New Roman"/>
                <w:color w:val="auto"/>
                <w:kern w:val="0"/>
                <w:sz w:val="24"/>
                <w:szCs w:val="24"/>
                <w:highlight w:val="none"/>
                <w:lang w:bidi="ar"/>
              </w:rPr>
              <w:t>4</w:t>
            </w:r>
          </w:p>
        </w:tc>
        <w:tc>
          <w:tcPr>
            <w:tcW w:w="1276" w:type="dxa"/>
            <w:vAlign w:val="center"/>
          </w:tcPr>
          <w:p w14:paraId="1ED91A58">
            <w:pPr>
              <w:spacing w:line="360" w:lineRule="auto"/>
              <w:jc w:val="center"/>
              <w:rPr>
                <w:rFonts w:ascii="Times New Roman" w:hAnsi="Times New Roman"/>
                <w:color w:val="auto"/>
                <w:kern w:val="0"/>
                <w:sz w:val="24"/>
                <w:szCs w:val="24"/>
                <w:highlight w:val="none"/>
                <w:lang w:bidi="ar"/>
              </w:rPr>
            </w:pPr>
          </w:p>
        </w:tc>
        <w:tc>
          <w:tcPr>
            <w:tcW w:w="850" w:type="dxa"/>
            <w:vAlign w:val="center"/>
          </w:tcPr>
          <w:p w14:paraId="346B037A">
            <w:pPr>
              <w:spacing w:line="360" w:lineRule="auto"/>
              <w:jc w:val="center"/>
              <w:rPr>
                <w:rFonts w:ascii="Times New Roman" w:hAnsi="Times New Roman"/>
                <w:color w:val="auto"/>
                <w:kern w:val="0"/>
                <w:sz w:val="24"/>
                <w:szCs w:val="24"/>
                <w:highlight w:val="none"/>
                <w:lang w:bidi="ar"/>
              </w:rPr>
            </w:pPr>
          </w:p>
        </w:tc>
        <w:tc>
          <w:tcPr>
            <w:tcW w:w="993" w:type="dxa"/>
            <w:vAlign w:val="center"/>
          </w:tcPr>
          <w:p w14:paraId="6C248315">
            <w:pPr>
              <w:spacing w:line="360" w:lineRule="auto"/>
              <w:jc w:val="center"/>
              <w:rPr>
                <w:rFonts w:ascii="Times New Roman" w:hAnsi="Times New Roman"/>
                <w:color w:val="auto"/>
                <w:kern w:val="0"/>
                <w:sz w:val="24"/>
                <w:szCs w:val="24"/>
                <w:highlight w:val="none"/>
                <w:lang w:bidi="ar"/>
              </w:rPr>
            </w:pPr>
          </w:p>
        </w:tc>
        <w:tc>
          <w:tcPr>
            <w:tcW w:w="850" w:type="dxa"/>
            <w:vAlign w:val="center"/>
          </w:tcPr>
          <w:p w14:paraId="469F8D69">
            <w:pPr>
              <w:spacing w:line="360" w:lineRule="auto"/>
              <w:jc w:val="center"/>
              <w:rPr>
                <w:rFonts w:ascii="Times New Roman" w:hAnsi="Times New Roman"/>
                <w:color w:val="auto"/>
                <w:kern w:val="0"/>
                <w:sz w:val="24"/>
                <w:szCs w:val="24"/>
                <w:highlight w:val="none"/>
                <w:lang w:bidi="ar"/>
              </w:rPr>
            </w:pPr>
          </w:p>
        </w:tc>
        <w:tc>
          <w:tcPr>
            <w:tcW w:w="851" w:type="dxa"/>
            <w:vAlign w:val="center"/>
          </w:tcPr>
          <w:p w14:paraId="71B27909">
            <w:pPr>
              <w:spacing w:line="360" w:lineRule="auto"/>
              <w:jc w:val="center"/>
              <w:rPr>
                <w:rFonts w:ascii="Times New Roman" w:hAnsi="Times New Roman"/>
                <w:color w:val="auto"/>
                <w:kern w:val="0"/>
                <w:sz w:val="24"/>
                <w:szCs w:val="24"/>
                <w:highlight w:val="none"/>
                <w:lang w:bidi="ar"/>
              </w:rPr>
            </w:pPr>
          </w:p>
        </w:tc>
        <w:tc>
          <w:tcPr>
            <w:tcW w:w="1134" w:type="dxa"/>
            <w:vAlign w:val="center"/>
          </w:tcPr>
          <w:p w14:paraId="2B67861D">
            <w:pPr>
              <w:spacing w:line="360" w:lineRule="auto"/>
              <w:jc w:val="center"/>
              <w:rPr>
                <w:rFonts w:ascii="Times New Roman" w:hAnsi="Times New Roman"/>
                <w:color w:val="auto"/>
                <w:kern w:val="0"/>
                <w:sz w:val="24"/>
                <w:szCs w:val="24"/>
                <w:highlight w:val="none"/>
                <w:lang w:bidi="ar"/>
              </w:rPr>
            </w:pPr>
          </w:p>
        </w:tc>
        <w:tc>
          <w:tcPr>
            <w:tcW w:w="1134" w:type="dxa"/>
            <w:vAlign w:val="center"/>
          </w:tcPr>
          <w:p w14:paraId="1B48C4F2">
            <w:pPr>
              <w:spacing w:line="360" w:lineRule="auto"/>
              <w:jc w:val="center"/>
              <w:rPr>
                <w:rFonts w:ascii="Times New Roman" w:hAnsi="Times New Roman"/>
                <w:color w:val="auto"/>
                <w:kern w:val="0"/>
                <w:sz w:val="24"/>
                <w:szCs w:val="24"/>
                <w:highlight w:val="none"/>
                <w:lang w:bidi="ar"/>
              </w:rPr>
            </w:pPr>
          </w:p>
        </w:tc>
        <w:tc>
          <w:tcPr>
            <w:tcW w:w="1134" w:type="dxa"/>
            <w:vAlign w:val="center"/>
          </w:tcPr>
          <w:p w14:paraId="3B2ECA53">
            <w:pPr>
              <w:spacing w:line="360" w:lineRule="auto"/>
              <w:jc w:val="center"/>
              <w:rPr>
                <w:rFonts w:ascii="Times New Roman" w:hAnsi="Times New Roman"/>
                <w:color w:val="auto"/>
                <w:kern w:val="0"/>
                <w:sz w:val="24"/>
                <w:szCs w:val="24"/>
                <w:highlight w:val="none"/>
                <w:lang w:bidi="ar"/>
              </w:rPr>
            </w:pPr>
          </w:p>
        </w:tc>
      </w:tr>
      <w:tr w14:paraId="6AD08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817" w:type="dxa"/>
            <w:vAlign w:val="center"/>
          </w:tcPr>
          <w:p w14:paraId="0FE2F45F">
            <w:pPr>
              <w:spacing w:line="360" w:lineRule="auto"/>
              <w:jc w:val="center"/>
              <w:rPr>
                <w:rFonts w:ascii="Times New Roman" w:hAnsi="Times New Roman"/>
                <w:color w:val="auto"/>
                <w:kern w:val="0"/>
                <w:sz w:val="24"/>
                <w:szCs w:val="24"/>
                <w:highlight w:val="none"/>
                <w:lang w:bidi="ar"/>
              </w:rPr>
            </w:pPr>
            <w:r>
              <w:rPr>
                <w:rFonts w:ascii="Times New Roman" w:hAnsi="Times New Roman"/>
                <w:color w:val="auto"/>
                <w:kern w:val="0"/>
                <w:sz w:val="24"/>
                <w:szCs w:val="24"/>
                <w:highlight w:val="none"/>
                <w:lang w:bidi="ar"/>
              </w:rPr>
              <w:t>5</w:t>
            </w:r>
          </w:p>
        </w:tc>
        <w:tc>
          <w:tcPr>
            <w:tcW w:w="1276" w:type="dxa"/>
            <w:vAlign w:val="center"/>
          </w:tcPr>
          <w:p w14:paraId="001D7696">
            <w:pPr>
              <w:spacing w:line="360" w:lineRule="auto"/>
              <w:jc w:val="center"/>
              <w:rPr>
                <w:rFonts w:ascii="Times New Roman" w:hAnsi="Times New Roman"/>
                <w:color w:val="auto"/>
                <w:kern w:val="0"/>
                <w:sz w:val="24"/>
                <w:szCs w:val="24"/>
                <w:highlight w:val="none"/>
                <w:lang w:bidi="ar"/>
              </w:rPr>
            </w:pPr>
          </w:p>
        </w:tc>
        <w:tc>
          <w:tcPr>
            <w:tcW w:w="850" w:type="dxa"/>
            <w:vAlign w:val="center"/>
          </w:tcPr>
          <w:p w14:paraId="58AC9429">
            <w:pPr>
              <w:spacing w:line="360" w:lineRule="auto"/>
              <w:jc w:val="center"/>
              <w:rPr>
                <w:rFonts w:ascii="Times New Roman" w:hAnsi="Times New Roman"/>
                <w:color w:val="auto"/>
                <w:kern w:val="0"/>
                <w:sz w:val="24"/>
                <w:szCs w:val="24"/>
                <w:highlight w:val="none"/>
                <w:lang w:bidi="ar"/>
              </w:rPr>
            </w:pPr>
          </w:p>
        </w:tc>
        <w:tc>
          <w:tcPr>
            <w:tcW w:w="993" w:type="dxa"/>
            <w:vAlign w:val="center"/>
          </w:tcPr>
          <w:p w14:paraId="556F8D9F">
            <w:pPr>
              <w:spacing w:line="360" w:lineRule="auto"/>
              <w:jc w:val="center"/>
              <w:rPr>
                <w:rFonts w:ascii="Times New Roman" w:hAnsi="Times New Roman"/>
                <w:color w:val="auto"/>
                <w:kern w:val="0"/>
                <w:sz w:val="24"/>
                <w:szCs w:val="24"/>
                <w:highlight w:val="none"/>
                <w:lang w:bidi="ar"/>
              </w:rPr>
            </w:pPr>
          </w:p>
        </w:tc>
        <w:tc>
          <w:tcPr>
            <w:tcW w:w="850" w:type="dxa"/>
            <w:vAlign w:val="center"/>
          </w:tcPr>
          <w:p w14:paraId="6DA0284D">
            <w:pPr>
              <w:spacing w:line="360" w:lineRule="auto"/>
              <w:jc w:val="center"/>
              <w:rPr>
                <w:rFonts w:ascii="Times New Roman" w:hAnsi="Times New Roman"/>
                <w:color w:val="auto"/>
                <w:kern w:val="0"/>
                <w:sz w:val="24"/>
                <w:szCs w:val="24"/>
                <w:highlight w:val="none"/>
                <w:lang w:bidi="ar"/>
              </w:rPr>
            </w:pPr>
          </w:p>
        </w:tc>
        <w:tc>
          <w:tcPr>
            <w:tcW w:w="851" w:type="dxa"/>
            <w:vAlign w:val="center"/>
          </w:tcPr>
          <w:p w14:paraId="4DD3CD60">
            <w:pPr>
              <w:spacing w:line="360" w:lineRule="auto"/>
              <w:jc w:val="center"/>
              <w:rPr>
                <w:rFonts w:ascii="Times New Roman" w:hAnsi="Times New Roman"/>
                <w:color w:val="auto"/>
                <w:kern w:val="0"/>
                <w:sz w:val="24"/>
                <w:szCs w:val="24"/>
                <w:highlight w:val="none"/>
                <w:lang w:bidi="ar"/>
              </w:rPr>
            </w:pPr>
          </w:p>
        </w:tc>
        <w:tc>
          <w:tcPr>
            <w:tcW w:w="1134" w:type="dxa"/>
            <w:vAlign w:val="center"/>
          </w:tcPr>
          <w:p w14:paraId="579BB68C">
            <w:pPr>
              <w:spacing w:line="360" w:lineRule="auto"/>
              <w:jc w:val="center"/>
              <w:rPr>
                <w:rFonts w:ascii="Times New Roman" w:hAnsi="Times New Roman"/>
                <w:color w:val="auto"/>
                <w:kern w:val="0"/>
                <w:sz w:val="24"/>
                <w:szCs w:val="24"/>
                <w:highlight w:val="none"/>
                <w:lang w:bidi="ar"/>
              </w:rPr>
            </w:pPr>
          </w:p>
        </w:tc>
        <w:tc>
          <w:tcPr>
            <w:tcW w:w="1134" w:type="dxa"/>
            <w:vAlign w:val="center"/>
          </w:tcPr>
          <w:p w14:paraId="0F06D806">
            <w:pPr>
              <w:spacing w:line="360" w:lineRule="auto"/>
              <w:jc w:val="center"/>
              <w:rPr>
                <w:rFonts w:ascii="Times New Roman" w:hAnsi="Times New Roman"/>
                <w:color w:val="auto"/>
                <w:kern w:val="0"/>
                <w:sz w:val="24"/>
                <w:szCs w:val="24"/>
                <w:highlight w:val="none"/>
                <w:lang w:bidi="ar"/>
              </w:rPr>
            </w:pPr>
          </w:p>
        </w:tc>
        <w:tc>
          <w:tcPr>
            <w:tcW w:w="1134" w:type="dxa"/>
            <w:vAlign w:val="center"/>
          </w:tcPr>
          <w:p w14:paraId="3D57BDFC">
            <w:pPr>
              <w:spacing w:line="360" w:lineRule="auto"/>
              <w:jc w:val="center"/>
              <w:rPr>
                <w:rFonts w:ascii="Times New Roman" w:hAnsi="Times New Roman"/>
                <w:color w:val="auto"/>
                <w:kern w:val="0"/>
                <w:sz w:val="24"/>
                <w:szCs w:val="24"/>
                <w:highlight w:val="none"/>
                <w:lang w:bidi="ar"/>
              </w:rPr>
            </w:pPr>
          </w:p>
        </w:tc>
      </w:tr>
      <w:tr w14:paraId="512AA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817" w:type="dxa"/>
            <w:vAlign w:val="center"/>
          </w:tcPr>
          <w:p w14:paraId="7D540B3E">
            <w:pPr>
              <w:spacing w:line="360" w:lineRule="auto"/>
              <w:ind w:firstLine="200"/>
              <w:jc w:val="left"/>
              <w:rPr>
                <w:rFonts w:ascii="Times New Roman" w:hAnsi="Times New Roman"/>
                <w:color w:val="auto"/>
                <w:kern w:val="0"/>
                <w:sz w:val="24"/>
                <w:szCs w:val="24"/>
                <w:highlight w:val="none"/>
                <w:lang w:bidi="ar"/>
              </w:rPr>
            </w:pPr>
            <w:r>
              <w:rPr>
                <w:rFonts w:hint="eastAsia" w:ascii="Times New Roman" w:hAnsi="Times New Roman"/>
                <w:color w:val="auto"/>
                <w:kern w:val="0"/>
                <w:sz w:val="24"/>
                <w:szCs w:val="24"/>
                <w:highlight w:val="none"/>
                <w:lang w:bidi="ar"/>
              </w:rPr>
              <w:t>……</w:t>
            </w:r>
          </w:p>
        </w:tc>
        <w:tc>
          <w:tcPr>
            <w:tcW w:w="1276" w:type="dxa"/>
            <w:vAlign w:val="center"/>
          </w:tcPr>
          <w:p w14:paraId="1C03BF3D">
            <w:pPr>
              <w:spacing w:line="360" w:lineRule="auto"/>
              <w:jc w:val="center"/>
              <w:rPr>
                <w:rFonts w:ascii="Times New Roman" w:hAnsi="Times New Roman"/>
                <w:color w:val="auto"/>
                <w:kern w:val="0"/>
                <w:sz w:val="24"/>
                <w:szCs w:val="24"/>
                <w:highlight w:val="none"/>
                <w:lang w:bidi="ar"/>
              </w:rPr>
            </w:pPr>
          </w:p>
        </w:tc>
        <w:tc>
          <w:tcPr>
            <w:tcW w:w="850" w:type="dxa"/>
            <w:vAlign w:val="center"/>
          </w:tcPr>
          <w:p w14:paraId="22157292">
            <w:pPr>
              <w:spacing w:line="360" w:lineRule="auto"/>
              <w:jc w:val="center"/>
              <w:rPr>
                <w:rFonts w:ascii="Times New Roman" w:hAnsi="Times New Roman"/>
                <w:color w:val="auto"/>
                <w:kern w:val="0"/>
                <w:sz w:val="24"/>
                <w:szCs w:val="24"/>
                <w:highlight w:val="none"/>
                <w:lang w:bidi="ar"/>
              </w:rPr>
            </w:pPr>
          </w:p>
        </w:tc>
        <w:tc>
          <w:tcPr>
            <w:tcW w:w="993" w:type="dxa"/>
            <w:vAlign w:val="center"/>
          </w:tcPr>
          <w:p w14:paraId="4BCC8E8B">
            <w:pPr>
              <w:spacing w:line="360" w:lineRule="auto"/>
              <w:jc w:val="center"/>
              <w:rPr>
                <w:rFonts w:ascii="Times New Roman" w:hAnsi="Times New Roman"/>
                <w:color w:val="auto"/>
                <w:kern w:val="0"/>
                <w:sz w:val="24"/>
                <w:szCs w:val="24"/>
                <w:highlight w:val="none"/>
                <w:lang w:bidi="ar"/>
              </w:rPr>
            </w:pPr>
          </w:p>
        </w:tc>
        <w:tc>
          <w:tcPr>
            <w:tcW w:w="850" w:type="dxa"/>
            <w:vAlign w:val="center"/>
          </w:tcPr>
          <w:p w14:paraId="7B4D134D">
            <w:pPr>
              <w:spacing w:line="360" w:lineRule="auto"/>
              <w:jc w:val="center"/>
              <w:rPr>
                <w:rFonts w:ascii="Times New Roman" w:hAnsi="Times New Roman"/>
                <w:color w:val="auto"/>
                <w:kern w:val="0"/>
                <w:sz w:val="24"/>
                <w:szCs w:val="24"/>
                <w:highlight w:val="none"/>
                <w:lang w:bidi="ar"/>
              </w:rPr>
            </w:pPr>
          </w:p>
        </w:tc>
        <w:tc>
          <w:tcPr>
            <w:tcW w:w="851" w:type="dxa"/>
            <w:vAlign w:val="center"/>
          </w:tcPr>
          <w:p w14:paraId="2CFB17C8">
            <w:pPr>
              <w:spacing w:line="360" w:lineRule="auto"/>
              <w:jc w:val="center"/>
              <w:rPr>
                <w:rFonts w:ascii="Times New Roman" w:hAnsi="Times New Roman"/>
                <w:color w:val="auto"/>
                <w:kern w:val="0"/>
                <w:sz w:val="24"/>
                <w:szCs w:val="24"/>
                <w:highlight w:val="none"/>
                <w:lang w:bidi="ar"/>
              </w:rPr>
            </w:pPr>
          </w:p>
        </w:tc>
        <w:tc>
          <w:tcPr>
            <w:tcW w:w="1134" w:type="dxa"/>
            <w:vAlign w:val="center"/>
          </w:tcPr>
          <w:p w14:paraId="24F743E4">
            <w:pPr>
              <w:spacing w:line="360" w:lineRule="auto"/>
              <w:jc w:val="center"/>
              <w:rPr>
                <w:rFonts w:ascii="Times New Roman" w:hAnsi="Times New Roman"/>
                <w:color w:val="auto"/>
                <w:kern w:val="0"/>
                <w:sz w:val="24"/>
                <w:szCs w:val="24"/>
                <w:highlight w:val="none"/>
                <w:lang w:bidi="ar"/>
              </w:rPr>
            </w:pPr>
          </w:p>
        </w:tc>
        <w:tc>
          <w:tcPr>
            <w:tcW w:w="1134" w:type="dxa"/>
            <w:vAlign w:val="center"/>
          </w:tcPr>
          <w:p w14:paraId="29F6CFC0">
            <w:pPr>
              <w:spacing w:line="360" w:lineRule="auto"/>
              <w:jc w:val="center"/>
              <w:rPr>
                <w:rFonts w:ascii="Times New Roman" w:hAnsi="Times New Roman"/>
                <w:color w:val="auto"/>
                <w:kern w:val="0"/>
                <w:sz w:val="24"/>
                <w:szCs w:val="24"/>
                <w:highlight w:val="none"/>
                <w:lang w:bidi="ar"/>
              </w:rPr>
            </w:pPr>
          </w:p>
        </w:tc>
        <w:tc>
          <w:tcPr>
            <w:tcW w:w="1134" w:type="dxa"/>
            <w:vAlign w:val="center"/>
          </w:tcPr>
          <w:p w14:paraId="5E05F466">
            <w:pPr>
              <w:spacing w:line="360" w:lineRule="auto"/>
              <w:jc w:val="center"/>
              <w:rPr>
                <w:rFonts w:ascii="Times New Roman" w:hAnsi="Times New Roman"/>
                <w:color w:val="auto"/>
                <w:kern w:val="0"/>
                <w:sz w:val="24"/>
                <w:szCs w:val="24"/>
                <w:highlight w:val="none"/>
                <w:lang w:bidi="ar"/>
              </w:rPr>
            </w:pPr>
          </w:p>
        </w:tc>
      </w:tr>
      <w:tr w14:paraId="480E4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093" w:type="dxa"/>
            <w:gridSpan w:val="2"/>
            <w:vAlign w:val="center"/>
          </w:tcPr>
          <w:p w14:paraId="7FD89AAC">
            <w:pPr>
              <w:spacing w:line="360" w:lineRule="auto"/>
              <w:ind w:firstLine="199" w:firstLineChars="83"/>
              <w:jc w:val="left"/>
              <w:rPr>
                <w:rFonts w:ascii="Times New Roman" w:hAnsi="Times New Roman"/>
                <w:color w:val="auto"/>
                <w:kern w:val="0"/>
                <w:sz w:val="24"/>
                <w:szCs w:val="24"/>
                <w:highlight w:val="none"/>
                <w:lang w:bidi="ar"/>
              </w:rPr>
            </w:pPr>
            <w:r>
              <w:rPr>
                <w:rFonts w:hint="eastAsia" w:ascii="Times New Roman" w:hAnsi="Times New Roman"/>
                <w:color w:val="auto"/>
                <w:kern w:val="0"/>
                <w:sz w:val="24"/>
                <w:szCs w:val="24"/>
                <w:highlight w:val="none"/>
                <w:lang w:bidi="ar"/>
              </w:rPr>
              <w:t>合计（元）</w:t>
            </w:r>
            <w:r>
              <w:rPr>
                <w:rFonts w:ascii="Times New Roman" w:hAnsi="Times New Roman"/>
                <w:color w:val="auto"/>
                <w:kern w:val="0"/>
                <w:sz w:val="24"/>
                <w:szCs w:val="24"/>
                <w:highlight w:val="none"/>
                <w:lang w:bidi="ar"/>
              </w:rPr>
              <w:t xml:space="preserve">                     </w:t>
            </w:r>
          </w:p>
        </w:tc>
        <w:tc>
          <w:tcPr>
            <w:tcW w:w="6946" w:type="dxa"/>
            <w:gridSpan w:val="7"/>
            <w:vAlign w:val="center"/>
          </w:tcPr>
          <w:p w14:paraId="50A44FEE">
            <w:pPr>
              <w:spacing w:line="360" w:lineRule="auto"/>
              <w:jc w:val="left"/>
              <w:rPr>
                <w:rFonts w:ascii="Times New Roman" w:hAnsi="Times New Roman"/>
                <w:color w:val="auto"/>
                <w:kern w:val="0"/>
                <w:sz w:val="24"/>
                <w:szCs w:val="24"/>
                <w:highlight w:val="none"/>
                <w:lang w:bidi="ar"/>
              </w:rPr>
            </w:pPr>
            <w:r>
              <w:rPr>
                <w:rFonts w:hint="eastAsia" w:ascii="Times New Roman" w:hAnsi="Times New Roman"/>
                <w:color w:val="auto"/>
                <w:kern w:val="0"/>
                <w:sz w:val="24"/>
                <w:szCs w:val="24"/>
                <w:highlight w:val="none"/>
                <w:lang w:bidi="ar"/>
              </w:rPr>
              <w:t>大写：</w:t>
            </w:r>
          </w:p>
          <w:p w14:paraId="76CA60F1">
            <w:pPr>
              <w:spacing w:line="360" w:lineRule="auto"/>
              <w:jc w:val="left"/>
              <w:rPr>
                <w:rFonts w:ascii="Times New Roman" w:hAnsi="Times New Roman"/>
                <w:color w:val="auto"/>
                <w:kern w:val="0"/>
                <w:sz w:val="24"/>
                <w:szCs w:val="24"/>
                <w:highlight w:val="none"/>
                <w:lang w:bidi="ar"/>
              </w:rPr>
            </w:pPr>
            <w:r>
              <w:rPr>
                <w:rFonts w:hint="eastAsia" w:ascii="Times New Roman" w:hAnsi="Times New Roman"/>
                <w:color w:val="auto"/>
                <w:kern w:val="0"/>
                <w:sz w:val="24"/>
                <w:szCs w:val="24"/>
                <w:highlight w:val="none"/>
                <w:lang w:bidi="ar"/>
              </w:rPr>
              <w:t>小写：</w:t>
            </w:r>
          </w:p>
        </w:tc>
      </w:tr>
    </w:tbl>
    <w:p w14:paraId="6062E632">
      <w:pPr>
        <w:ind w:firstLine="480" w:firstLineChars="200"/>
        <w:jc w:val="left"/>
        <w:rPr>
          <w:rFonts w:ascii="Times New Roman" w:hAnsi="Times New Roman"/>
          <w:color w:val="auto"/>
          <w:sz w:val="24"/>
          <w:szCs w:val="24"/>
          <w:highlight w:val="none"/>
          <w:lang w:bidi="ar"/>
        </w:rPr>
      </w:pPr>
      <w:r>
        <w:rPr>
          <w:rFonts w:hint="eastAsia" w:ascii="Times New Roman" w:hAnsi="Times New Roman"/>
          <w:color w:val="auto"/>
          <w:sz w:val="24"/>
          <w:szCs w:val="24"/>
          <w:highlight w:val="none"/>
          <w:lang w:bidi="ar"/>
        </w:rPr>
        <w:t>注：</w:t>
      </w:r>
      <w:r>
        <w:rPr>
          <w:rFonts w:ascii="Times New Roman" w:hAnsi="Times New Roman"/>
          <w:color w:val="auto"/>
          <w:sz w:val="24"/>
          <w:szCs w:val="24"/>
          <w:highlight w:val="none"/>
          <w:lang w:bidi="ar"/>
        </w:rPr>
        <w:t>1.</w:t>
      </w:r>
      <w:r>
        <w:rPr>
          <w:rFonts w:hint="eastAsia" w:ascii="Times New Roman" w:hAnsi="Times New Roman"/>
          <w:color w:val="auto"/>
          <w:sz w:val="24"/>
          <w:szCs w:val="24"/>
          <w:highlight w:val="none"/>
          <w:lang w:bidi="ar"/>
        </w:rPr>
        <w:t>所有价格以人民币表示。</w:t>
      </w:r>
      <w:r>
        <w:rPr>
          <w:rFonts w:ascii="Times New Roman" w:hAnsi="Times New Roman"/>
          <w:color w:val="auto"/>
          <w:sz w:val="24"/>
          <w:szCs w:val="24"/>
          <w:highlight w:val="none"/>
          <w:lang w:bidi="ar"/>
        </w:rPr>
        <w:t>2.</w:t>
      </w:r>
      <w:r>
        <w:rPr>
          <w:rFonts w:hint="eastAsia" w:ascii="Times New Roman" w:hAnsi="Times New Roman"/>
          <w:color w:val="auto"/>
          <w:sz w:val="24"/>
          <w:szCs w:val="24"/>
          <w:highlight w:val="none"/>
          <w:lang w:bidi="ar"/>
        </w:rPr>
        <w:t>若总价与单价不符，以单价为准。</w:t>
      </w:r>
      <w:r>
        <w:rPr>
          <w:rFonts w:ascii="Times New Roman" w:hAnsi="Times New Roman"/>
          <w:color w:val="auto"/>
          <w:sz w:val="24"/>
          <w:szCs w:val="24"/>
          <w:highlight w:val="none"/>
          <w:lang w:bidi="ar"/>
        </w:rPr>
        <w:t>3.</w:t>
      </w:r>
      <w:r>
        <w:rPr>
          <w:rFonts w:hint="eastAsia" w:ascii="Times New Roman" w:hAnsi="Times New Roman"/>
          <w:color w:val="auto"/>
          <w:sz w:val="24"/>
          <w:szCs w:val="24"/>
          <w:highlight w:val="none"/>
          <w:lang w:bidi="ar"/>
        </w:rPr>
        <w:t>供应商根据需要可在本表中自行增加更为详细的报价说明。包含设备价、备品备件价、包装费、装卸费、运输费、税金（含关税、增值税）、安装费、检测验收费、培训费及其他所有费用，均包含在投标报价中。</w:t>
      </w:r>
    </w:p>
    <w:p w14:paraId="0026C053">
      <w:pPr>
        <w:spacing w:line="360" w:lineRule="auto"/>
        <w:ind w:firstLine="400" w:firstLineChars="200"/>
        <w:jc w:val="left"/>
        <w:rPr>
          <w:rFonts w:ascii="Times New Roman" w:hAnsi="Times New Roman"/>
          <w:color w:val="auto"/>
          <w:kern w:val="0"/>
          <w:sz w:val="20"/>
          <w:szCs w:val="20"/>
          <w:highlight w:val="none"/>
          <w:lang w:bidi="ar"/>
        </w:rPr>
      </w:pPr>
    </w:p>
    <w:p w14:paraId="25F9193A">
      <w:pPr>
        <w:spacing w:line="460" w:lineRule="exact"/>
        <w:ind w:firstLine="3400" w:firstLineChars="1417"/>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供应商：</w:t>
      </w:r>
      <w:r>
        <w:rPr>
          <w:rFonts w:ascii="Times New Roman" w:hAnsi="Times New Roman"/>
          <w:color w:val="auto"/>
          <w:sz w:val="24"/>
          <w:szCs w:val="24"/>
          <w:highlight w:val="none"/>
          <w:u w:val="single"/>
          <w:shd w:val="clear" w:color="auto" w:fill="FFFFFF"/>
          <w:lang w:bidi="ar"/>
        </w:rPr>
        <w:t xml:space="preserve">                     </w:t>
      </w:r>
      <w:r>
        <w:rPr>
          <w:rFonts w:ascii="Times New Roman" w:hAnsi="Times New Roman"/>
          <w:color w:val="auto"/>
          <w:sz w:val="24"/>
          <w:szCs w:val="24"/>
          <w:highlight w:val="none"/>
          <w:shd w:val="clear" w:color="auto" w:fill="FFFFFF"/>
          <w:lang w:bidi="ar"/>
        </w:rPr>
        <w:t>(</w:t>
      </w:r>
      <w:r>
        <w:rPr>
          <w:rFonts w:hint="eastAsia" w:ascii="Times New Roman" w:hAnsi="Times New Roman"/>
          <w:color w:val="auto"/>
          <w:sz w:val="24"/>
          <w:szCs w:val="24"/>
          <w:highlight w:val="none"/>
          <w:shd w:val="clear" w:color="auto" w:fill="FFFFFF"/>
          <w:lang w:bidi="ar"/>
        </w:rPr>
        <w:t>电子签章</w:t>
      </w:r>
      <w:r>
        <w:rPr>
          <w:rFonts w:ascii="Times New Roman" w:hAnsi="Times New Roman"/>
          <w:color w:val="auto"/>
          <w:sz w:val="24"/>
          <w:szCs w:val="24"/>
          <w:highlight w:val="none"/>
          <w:shd w:val="clear" w:color="auto" w:fill="FFFFFF"/>
          <w:lang w:bidi="ar"/>
        </w:rPr>
        <w:t xml:space="preserve">) </w:t>
      </w:r>
    </w:p>
    <w:p w14:paraId="0B3283C9">
      <w:pPr>
        <w:spacing w:line="460" w:lineRule="exact"/>
        <w:ind w:firstLine="3400" w:firstLineChars="1417"/>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法定代表人</w:t>
      </w:r>
      <w:r>
        <w:rPr>
          <w:rFonts w:ascii="Times New Roman" w:hAnsi="Times New Roman"/>
          <w:color w:val="auto"/>
          <w:sz w:val="24"/>
          <w:szCs w:val="24"/>
          <w:highlight w:val="none"/>
          <w:shd w:val="clear" w:color="auto" w:fill="FFFFFF"/>
          <w:lang w:bidi="ar"/>
        </w:rPr>
        <w:t xml:space="preserve"> </w:t>
      </w:r>
      <w:r>
        <w:rPr>
          <w:rFonts w:hint="eastAsia" w:ascii="Times New Roman" w:hAnsi="Times New Roman"/>
          <w:color w:val="auto"/>
          <w:sz w:val="24"/>
          <w:szCs w:val="24"/>
          <w:highlight w:val="none"/>
          <w:shd w:val="clear" w:color="auto" w:fill="FFFFFF"/>
          <w:lang w:bidi="ar"/>
        </w:rPr>
        <w:t>：</w:t>
      </w:r>
      <w:r>
        <w:rPr>
          <w:rFonts w:ascii="Times New Roman" w:hAnsi="Times New Roman"/>
          <w:color w:val="auto"/>
          <w:sz w:val="24"/>
          <w:szCs w:val="24"/>
          <w:highlight w:val="none"/>
          <w:u w:val="single"/>
          <w:shd w:val="clear" w:color="auto" w:fill="FFFFFF"/>
          <w:lang w:bidi="ar"/>
        </w:rPr>
        <w:t xml:space="preserve">        </w:t>
      </w:r>
      <w:r>
        <w:rPr>
          <w:rFonts w:ascii="Times New Roman" w:hAnsi="Times New Roman"/>
          <w:color w:val="auto"/>
          <w:sz w:val="24"/>
          <w:szCs w:val="24"/>
          <w:highlight w:val="none"/>
          <w:shd w:val="clear" w:color="auto" w:fill="FFFFFF"/>
          <w:lang w:bidi="ar"/>
        </w:rPr>
        <w:t>(</w:t>
      </w:r>
      <w:r>
        <w:rPr>
          <w:rFonts w:hint="eastAsia" w:ascii="Times New Roman" w:hAnsi="Times New Roman"/>
          <w:color w:val="auto"/>
          <w:sz w:val="24"/>
          <w:szCs w:val="24"/>
          <w:highlight w:val="none"/>
          <w:shd w:val="clear" w:color="auto" w:fill="FFFFFF"/>
          <w:lang w:bidi="ar"/>
        </w:rPr>
        <w:t>法定代表人电子签章</w:t>
      </w:r>
      <w:r>
        <w:rPr>
          <w:rFonts w:ascii="Times New Roman" w:hAnsi="Times New Roman"/>
          <w:color w:val="auto"/>
          <w:sz w:val="24"/>
          <w:szCs w:val="24"/>
          <w:highlight w:val="none"/>
          <w:shd w:val="clear" w:color="auto" w:fill="FFFFFF"/>
          <w:lang w:bidi="ar"/>
        </w:rPr>
        <w:t xml:space="preserve">) </w:t>
      </w:r>
    </w:p>
    <w:p w14:paraId="16CA267F">
      <w:pPr>
        <w:spacing w:line="460" w:lineRule="exact"/>
        <w:ind w:firstLine="3400" w:firstLineChars="1417"/>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日</w:t>
      </w:r>
      <w:r>
        <w:rPr>
          <w:rFonts w:ascii="Times New Roman" w:hAnsi="Times New Roman"/>
          <w:color w:val="auto"/>
          <w:sz w:val="24"/>
          <w:szCs w:val="24"/>
          <w:highlight w:val="none"/>
          <w:shd w:val="clear" w:color="auto" w:fill="FFFFFF"/>
          <w:lang w:bidi="ar"/>
        </w:rPr>
        <w:t xml:space="preserve">       </w:t>
      </w:r>
      <w:r>
        <w:rPr>
          <w:rFonts w:hint="eastAsia" w:ascii="Times New Roman" w:hAnsi="Times New Roman"/>
          <w:color w:val="auto"/>
          <w:sz w:val="24"/>
          <w:szCs w:val="24"/>
          <w:highlight w:val="none"/>
          <w:shd w:val="clear" w:color="auto" w:fill="FFFFFF"/>
          <w:lang w:bidi="ar"/>
        </w:rPr>
        <w:t>期：</w:t>
      </w:r>
      <w:r>
        <w:rPr>
          <w:rFonts w:ascii="Times New Roman" w:hAnsi="Times New Roman"/>
          <w:color w:val="auto"/>
          <w:sz w:val="24"/>
          <w:szCs w:val="24"/>
          <w:highlight w:val="none"/>
          <w:u w:val="single"/>
          <w:shd w:val="clear" w:color="auto" w:fill="FFFFFF"/>
          <w:lang w:bidi="ar"/>
        </w:rPr>
        <w:t xml:space="preserve">         </w:t>
      </w:r>
      <w:r>
        <w:rPr>
          <w:rFonts w:hint="eastAsia" w:ascii="Times New Roman" w:hAnsi="Times New Roman"/>
          <w:color w:val="auto"/>
          <w:sz w:val="24"/>
          <w:szCs w:val="24"/>
          <w:highlight w:val="none"/>
          <w:shd w:val="clear" w:color="auto" w:fill="FFFFFF"/>
          <w:lang w:bidi="ar"/>
        </w:rPr>
        <w:t>年</w:t>
      </w:r>
      <w:r>
        <w:rPr>
          <w:rFonts w:ascii="Times New Roman" w:hAnsi="Times New Roman"/>
          <w:color w:val="auto"/>
          <w:sz w:val="24"/>
          <w:szCs w:val="24"/>
          <w:highlight w:val="none"/>
          <w:shd w:val="clear" w:color="auto" w:fill="FFFFFF"/>
          <w:lang w:bidi="ar"/>
        </w:rPr>
        <w:t xml:space="preserve"> </w:t>
      </w:r>
      <w:r>
        <w:rPr>
          <w:rFonts w:ascii="Times New Roman" w:hAnsi="Times New Roman"/>
          <w:color w:val="auto"/>
          <w:sz w:val="24"/>
          <w:szCs w:val="24"/>
          <w:highlight w:val="none"/>
          <w:u w:val="single"/>
          <w:shd w:val="clear" w:color="auto" w:fill="FFFFFF"/>
          <w:lang w:bidi="ar"/>
        </w:rPr>
        <w:t xml:space="preserve">    </w:t>
      </w:r>
      <w:r>
        <w:rPr>
          <w:rFonts w:hint="eastAsia" w:ascii="Times New Roman" w:hAnsi="Times New Roman"/>
          <w:color w:val="auto"/>
          <w:sz w:val="24"/>
          <w:szCs w:val="24"/>
          <w:highlight w:val="none"/>
          <w:shd w:val="clear" w:color="auto" w:fill="FFFFFF"/>
          <w:lang w:bidi="ar"/>
        </w:rPr>
        <w:t>月</w:t>
      </w:r>
      <w:r>
        <w:rPr>
          <w:rFonts w:ascii="Times New Roman" w:hAnsi="Times New Roman"/>
          <w:color w:val="auto"/>
          <w:sz w:val="24"/>
          <w:szCs w:val="24"/>
          <w:highlight w:val="none"/>
          <w:u w:val="single"/>
          <w:shd w:val="clear" w:color="auto" w:fill="FFFFFF"/>
          <w:lang w:bidi="ar"/>
        </w:rPr>
        <w:t xml:space="preserve">    </w:t>
      </w:r>
      <w:r>
        <w:rPr>
          <w:rFonts w:hint="eastAsia" w:ascii="Times New Roman" w:hAnsi="Times New Roman"/>
          <w:color w:val="auto"/>
          <w:sz w:val="24"/>
          <w:szCs w:val="24"/>
          <w:highlight w:val="none"/>
          <w:shd w:val="clear" w:color="auto" w:fill="FFFFFF"/>
          <w:lang w:bidi="ar"/>
        </w:rPr>
        <w:t>日</w:t>
      </w:r>
    </w:p>
    <w:p w14:paraId="16F474DB">
      <w:pPr>
        <w:rPr>
          <w:rFonts w:ascii="Times New Roman" w:hAnsi="Times New Roman"/>
          <w:b/>
          <w:bCs/>
          <w:color w:val="auto"/>
          <w:sz w:val="24"/>
          <w:szCs w:val="24"/>
          <w:highlight w:val="none"/>
        </w:rPr>
      </w:pPr>
      <w:bookmarkStart w:id="500" w:name="_Toc151210172"/>
      <w:bookmarkStart w:id="501" w:name="_Toc479341622"/>
      <w:bookmarkStart w:id="502" w:name="_Toc176358380"/>
      <w:bookmarkStart w:id="503" w:name="_Toc508113567"/>
      <w:bookmarkStart w:id="504" w:name="_Toc517338641"/>
      <w:r>
        <w:rPr>
          <w:rFonts w:hint="eastAsia" w:ascii="Times New Roman" w:hAnsi="Times New Roman"/>
          <w:b/>
          <w:bCs/>
          <w:color w:val="auto"/>
          <w:sz w:val="24"/>
          <w:szCs w:val="24"/>
          <w:highlight w:val="none"/>
        </w:rPr>
        <w:br w:type="page"/>
      </w:r>
    </w:p>
    <w:p w14:paraId="5E3621AB">
      <w:pPr>
        <w:keepNext/>
        <w:keepLines/>
        <w:spacing w:line="360" w:lineRule="auto"/>
        <w:outlineLvl w:val="2"/>
        <w:rPr>
          <w:rFonts w:ascii="Times New Roman" w:hAnsi="Times New Roman"/>
          <w:b/>
          <w:bCs/>
          <w:color w:val="auto"/>
          <w:sz w:val="24"/>
          <w:szCs w:val="24"/>
          <w:highlight w:val="none"/>
        </w:rPr>
      </w:pPr>
      <w:r>
        <w:rPr>
          <w:rFonts w:hint="eastAsia" w:ascii="Times New Roman" w:hAnsi="Times New Roman"/>
          <w:b/>
          <w:bCs/>
          <w:color w:val="auto"/>
          <w:sz w:val="24"/>
          <w:szCs w:val="24"/>
          <w:highlight w:val="none"/>
        </w:rPr>
        <w:t>6.2技术偏差表</w:t>
      </w:r>
      <w:bookmarkEnd w:id="500"/>
      <w:bookmarkEnd w:id="501"/>
      <w:bookmarkEnd w:id="502"/>
      <w:bookmarkEnd w:id="503"/>
      <w:bookmarkEnd w:id="504"/>
    </w:p>
    <w:p w14:paraId="717153E6">
      <w:pPr>
        <w:spacing w:line="517" w:lineRule="exact"/>
        <w:outlineLvl w:val="1"/>
        <w:rPr>
          <w:rFonts w:ascii="Times New Roman" w:hAnsi="Times New Roman"/>
          <w:color w:val="auto"/>
          <w:sz w:val="24"/>
          <w:szCs w:val="32"/>
          <w:highlight w:val="none"/>
          <w:lang w:val="zh-CN" w:bidi="zh-CN"/>
        </w:rPr>
      </w:pPr>
      <w:r>
        <w:rPr>
          <w:rFonts w:hint="eastAsia" w:ascii="Times New Roman" w:hAnsi="Times New Roman"/>
          <w:color w:val="auto"/>
          <w:sz w:val="24"/>
          <w:szCs w:val="32"/>
          <w:highlight w:val="none"/>
          <w:lang w:val="zh-CN" w:bidi="zh-CN"/>
        </w:rPr>
        <w:t>项目编号：</w:t>
      </w:r>
    </w:p>
    <w:p w14:paraId="5390870E">
      <w:pPr>
        <w:spacing w:line="517" w:lineRule="exact"/>
        <w:outlineLvl w:val="1"/>
        <w:rPr>
          <w:rFonts w:ascii="Times New Roman" w:hAnsi="Times New Roman"/>
          <w:b/>
          <w:bCs/>
          <w:color w:val="auto"/>
          <w:sz w:val="24"/>
          <w:szCs w:val="24"/>
          <w:highlight w:val="none"/>
        </w:rPr>
      </w:pPr>
      <w:r>
        <w:rPr>
          <w:rFonts w:hint="eastAsia" w:ascii="Times New Roman" w:hAnsi="Times New Roman"/>
          <w:color w:val="auto"/>
          <w:sz w:val="24"/>
          <w:szCs w:val="32"/>
          <w:highlight w:val="none"/>
          <w:lang w:val="zh-CN" w:bidi="zh-CN"/>
        </w:rPr>
        <w:t>项目名称：</w:t>
      </w:r>
    </w:p>
    <w:tbl>
      <w:tblPr>
        <w:tblStyle w:val="12"/>
        <w:tblW w:w="0" w:type="auto"/>
        <w:jc w:val="center"/>
        <w:tblLayout w:type="fixed"/>
        <w:tblCellMar>
          <w:top w:w="0" w:type="dxa"/>
          <w:left w:w="108" w:type="dxa"/>
          <w:bottom w:w="0" w:type="dxa"/>
          <w:right w:w="108" w:type="dxa"/>
        </w:tblCellMar>
      </w:tblPr>
      <w:tblGrid>
        <w:gridCol w:w="810"/>
        <w:gridCol w:w="1281"/>
        <w:gridCol w:w="2077"/>
        <w:gridCol w:w="1890"/>
        <w:gridCol w:w="1972"/>
        <w:gridCol w:w="1251"/>
      </w:tblGrid>
      <w:tr w14:paraId="5843CCA8">
        <w:tblPrEx>
          <w:tblCellMar>
            <w:top w:w="0" w:type="dxa"/>
            <w:left w:w="108" w:type="dxa"/>
            <w:bottom w:w="0" w:type="dxa"/>
            <w:right w:w="108" w:type="dxa"/>
          </w:tblCellMar>
        </w:tblPrEx>
        <w:trPr>
          <w:jc w:val="center"/>
        </w:trPr>
        <w:tc>
          <w:tcPr>
            <w:tcW w:w="810" w:type="dxa"/>
            <w:tcBorders>
              <w:top w:val="single" w:color="auto" w:sz="4" w:space="0"/>
              <w:left w:val="single" w:color="auto" w:sz="4" w:space="0"/>
              <w:bottom w:val="single" w:color="auto" w:sz="4" w:space="0"/>
              <w:right w:val="single" w:color="auto" w:sz="4" w:space="0"/>
            </w:tcBorders>
          </w:tcPr>
          <w:p w14:paraId="7DBA2CB5">
            <w:pPr>
              <w:spacing w:line="480" w:lineRule="exact"/>
              <w:jc w:val="center"/>
              <w:rPr>
                <w:rFonts w:ascii="Times New Roman" w:hAnsi="Times New Roman"/>
                <w:color w:val="auto"/>
                <w:highlight w:val="none"/>
              </w:rPr>
            </w:pPr>
            <w:r>
              <w:rPr>
                <w:rFonts w:hint="eastAsia" w:ascii="Times New Roman" w:hAnsi="Times New Roman"/>
                <w:color w:val="auto"/>
                <w:highlight w:val="none"/>
              </w:rPr>
              <w:t>序号</w:t>
            </w:r>
          </w:p>
        </w:tc>
        <w:tc>
          <w:tcPr>
            <w:tcW w:w="1281" w:type="dxa"/>
            <w:tcBorders>
              <w:top w:val="single" w:color="auto" w:sz="4" w:space="0"/>
              <w:left w:val="nil"/>
              <w:bottom w:val="single" w:color="auto" w:sz="4" w:space="0"/>
              <w:right w:val="single" w:color="auto" w:sz="4" w:space="0"/>
            </w:tcBorders>
          </w:tcPr>
          <w:p w14:paraId="5DC95366">
            <w:pPr>
              <w:spacing w:line="480" w:lineRule="exact"/>
              <w:jc w:val="center"/>
              <w:rPr>
                <w:rFonts w:ascii="Times New Roman" w:hAnsi="Times New Roman"/>
                <w:color w:val="auto"/>
                <w:highlight w:val="none"/>
              </w:rPr>
            </w:pPr>
            <w:r>
              <w:rPr>
                <w:rFonts w:hint="eastAsia" w:ascii="Times New Roman" w:hAnsi="Times New Roman"/>
                <w:color w:val="auto"/>
                <w:highlight w:val="none"/>
              </w:rPr>
              <w:t>产品名称</w:t>
            </w:r>
          </w:p>
        </w:tc>
        <w:tc>
          <w:tcPr>
            <w:tcW w:w="2077" w:type="dxa"/>
            <w:tcBorders>
              <w:top w:val="single" w:color="auto" w:sz="4" w:space="0"/>
              <w:left w:val="nil"/>
              <w:bottom w:val="single" w:color="auto" w:sz="4" w:space="0"/>
              <w:right w:val="single" w:color="auto" w:sz="4" w:space="0"/>
            </w:tcBorders>
          </w:tcPr>
          <w:p w14:paraId="15B021EB">
            <w:pPr>
              <w:spacing w:line="480" w:lineRule="exact"/>
              <w:jc w:val="center"/>
              <w:rPr>
                <w:rFonts w:ascii="Times New Roman" w:hAnsi="Times New Roman"/>
                <w:color w:val="auto"/>
                <w:highlight w:val="none"/>
              </w:rPr>
            </w:pPr>
            <w:r>
              <w:rPr>
                <w:rFonts w:hint="eastAsia" w:ascii="Times New Roman" w:hAnsi="Times New Roman"/>
                <w:color w:val="auto"/>
                <w:highlight w:val="none"/>
              </w:rPr>
              <w:t>投标品牌和型号</w:t>
            </w:r>
          </w:p>
        </w:tc>
        <w:tc>
          <w:tcPr>
            <w:tcW w:w="1890" w:type="dxa"/>
            <w:tcBorders>
              <w:top w:val="single" w:color="auto" w:sz="4" w:space="0"/>
              <w:left w:val="nil"/>
              <w:bottom w:val="single" w:color="auto" w:sz="4" w:space="0"/>
              <w:right w:val="single" w:color="auto" w:sz="4" w:space="0"/>
            </w:tcBorders>
          </w:tcPr>
          <w:p w14:paraId="2A8D3E65">
            <w:pPr>
              <w:spacing w:line="480" w:lineRule="exact"/>
              <w:jc w:val="center"/>
              <w:rPr>
                <w:rFonts w:ascii="Times New Roman" w:hAnsi="Times New Roman"/>
                <w:color w:val="auto"/>
                <w:highlight w:val="none"/>
              </w:rPr>
            </w:pPr>
            <w:r>
              <w:rPr>
                <w:rFonts w:hint="eastAsia" w:ascii="Times New Roman" w:hAnsi="Times New Roman"/>
                <w:color w:val="auto"/>
                <w:highlight w:val="none"/>
              </w:rPr>
              <w:t>招标技术参数要求</w:t>
            </w:r>
          </w:p>
        </w:tc>
        <w:tc>
          <w:tcPr>
            <w:tcW w:w="1972" w:type="dxa"/>
            <w:tcBorders>
              <w:top w:val="single" w:color="auto" w:sz="4" w:space="0"/>
              <w:left w:val="nil"/>
              <w:bottom w:val="single" w:color="auto" w:sz="4" w:space="0"/>
              <w:right w:val="single" w:color="auto" w:sz="4" w:space="0"/>
            </w:tcBorders>
          </w:tcPr>
          <w:p w14:paraId="3D9DFB53">
            <w:pPr>
              <w:spacing w:line="480" w:lineRule="exact"/>
              <w:jc w:val="center"/>
              <w:rPr>
                <w:rFonts w:ascii="Times New Roman" w:hAnsi="Times New Roman"/>
                <w:color w:val="auto"/>
                <w:highlight w:val="none"/>
              </w:rPr>
            </w:pPr>
            <w:r>
              <w:rPr>
                <w:rFonts w:hint="eastAsia" w:ascii="Times New Roman" w:hAnsi="Times New Roman"/>
                <w:color w:val="auto"/>
                <w:highlight w:val="none"/>
              </w:rPr>
              <w:t>投标产品技术参数</w:t>
            </w:r>
          </w:p>
        </w:tc>
        <w:tc>
          <w:tcPr>
            <w:tcW w:w="1251" w:type="dxa"/>
            <w:tcBorders>
              <w:top w:val="single" w:color="auto" w:sz="4" w:space="0"/>
              <w:left w:val="nil"/>
              <w:bottom w:val="single" w:color="auto" w:sz="4" w:space="0"/>
              <w:right w:val="single" w:color="auto" w:sz="4" w:space="0"/>
            </w:tcBorders>
          </w:tcPr>
          <w:p w14:paraId="7477D330">
            <w:pPr>
              <w:spacing w:line="480" w:lineRule="exact"/>
              <w:jc w:val="center"/>
              <w:rPr>
                <w:rFonts w:ascii="Times New Roman" w:hAnsi="Times New Roman"/>
                <w:color w:val="auto"/>
                <w:highlight w:val="none"/>
              </w:rPr>
            </w:pPr>
            <w:r>
              <w:rPr>
                <w:rFonts w:hint="eastAsia" w:ascii="Times New Roman" w:hAnsi="Times New Roman"/>
                <w:color w:val="auto"/>
                <w:highlight w:val="none"/>
              </w:rPr>
              <w:t>偏离说明</w:t>
            </w:r>
          </w:p>
          <w:p w14:paraId="7C55088B">
            <w:pPr>
              <w:spacing w:line="480" w:lineRule="exact"/>
              <w:jc w:val="center"/>
              <w:rPr>
                <w:rFonts w:ascii="Times New Roman" w:hAnsi="Times New Roman"/>
                <w:color w:val="auto"/>
                <w:highlight w:val="none"/>
              </w:rPr>
            </w:pPr>
            <w:r>
              <w:rPr>
                <w:rFonts w:hint="eastAsia" w:ascii="Times New Roman" w:hAnsi="Times New Roman"/>
                <w:color w:val="auto"/>
                <w:highlight w:val="none"/>
              </w:rPr>
              <w:t>（正偏离</w:t>
            </w:r>
            <w:r>
              <w:rPr>
                <w:rFonts w:ascii="Times New Roman" w:hAnsi="Times New Roman"/>
                <w:color w:val="auto"/>
                <w:highlight w:val="none"/>
              </w:rPr>
              <w:t>/</w:t>
            </w:r>
            <w:r>
              <w:rPr>
                <w:rFonts w:hint="eastAsia" w:ascii="Times New Roman" w:hAnsi="Times New Roman"/>
                <w:color w:val="auto"/>
                <w:highlight w:val="none"/>
              </w:rPr>
              <w:t>无偏离</w:t>
            </w:r>
            <w:r>
              <w:rPr>
                <w:rFonts w:ascii="Times New Roman" w:hAnsi="Times New Roman"/>
                <w:color w:val="auto"/>
                <w:highlight w:val="none"/>
              </w:rPr>
              <w:t>/</w:t>
            </w:r>
            <w:r>
              <w:rPr>
                <w:rFonts w:hint="eastAsia" w:ascii="Times New Roman" w:hAnsi="Times New Roman"/>
                <w:color w:val="auto"/>
                <w:highlight w:val="none"/>
              </w:rPr>
              <w:t>负偏离）</w:t>
            </w:r>
          </w:p>
        </w:tc>
      </w:tr>
      <w:tr w14:paraId="52432D08">
        <w:tblPrEx>
          <w:tblCellMar>
            <w:top w:w="0" w:type="dxa"/>
            <w:left w:w="108" w:type="dxa"/>
            <w:bottom w:w="0" w:type="dxa"/>
            <w:right w:w="108" w:type="dxa"/>
          </w:tblCellMar>
        </w:tblPrEx>
        <w:trPr>
          <w:jc w:val="center"/>
        </w:trPr>
        <w:tc>
          <w:tcPr>
            <w:tcW w:w="810" w:type="dxa"/>
            <w:tcBorders>
              <w:top w:val="single" w:color="auto" w:sz="4" w:space="0"/>
              <w:left w:val="single" w:color="auto" w:sz="4" w:space="0"/>
              <w:bottom w:val="single" w:color="auto" w:sz="4" w:space="0"/>
              <w:right w:val="single" w:color="auto" w:sz="4" w:space="0"/>
            </w:tcBorders>
          </w:tcPr>
          <w:p w14:paraId="2B411425">
            <w:pPr>
              <w:spacing w:line="480" w:lineRule="exact"/>
              <w:rPr>
                <w:rFonts w:ascii="Times New Roman" w:hAnsi="Times New Roman"/>
                <w:color w:val="auto"/>
                <w:sz w:val="24"/>
                <w:szCs w:val="24"/>
                <w:highlight w:val="none"/>
              </w:rPr>
            </w:pPr>
          </w:p>
        </w:tc>
        <w:tc>
          <w:tcPr>
            <w:tcW w:w="1281" w:type="dxa"/>
            <w:tcBorders>
              <w:top w:val="single" w:color="auto" w:sz="4" w:space="0"/>
              <w:left w:val="nil"/>
              <w:bottom w:val="single" w:color="auto" w:sz="4" w:space="0"/>
              <w:right w:val="single" w:color="auto" w:sz="4" w:space="0"/>
            </w:tcBorders>
          </w:tcPr>
          <w:p w14:paraId="25004929">
            <w:pPr>
              <w:spacing w:line="480" w:lineRule="exact"/>
              <w:rPr>
                <w:rFonts w:ascii="Times New Roman" w:hAnsi="Times New Roman"/>
                <w:color w:val="auto"/>
                <w:sz w:val="24"/>
                <w:szCs w:val="24"/>
                <w:highlight w:val="none"/>
              </w:rPr>
            </w:pPr>
          </w:p>
        </w:tc>
        <w:tc>
          <w:tcPr>
            <w:tcW w:w="2077" w:type="dxa"/>
            <w:tcBorders>
              <w:top w:val="single" w:color="auto" w:sz="4" w:space="0"/>
              <w:left w:val="nil"/>
              <w:bottom w:val="single" w:color="auto" w:sz="4" w:space="0"/>
              <w:right w:val="single" w:color="auto" w:sz="4" w:space="0"/>
            </w:tcBorders>
          </w:tcPr>
          <w:p w14:paraId="76A99E06">
            <w:pPr>
              <w:spacing w:line="480" w:lineRule="exact"/>
              <w:rPr>
                <w:rFonts w:ascii="Times New Roman" w:hAnsi="Times New Roman"/>
                <w:color w:val="auto"/>
                <w:sz w:val="24"/>
                <w:szCs w:val="24"/>
                <w:highlight w:val="none"/>
              </w:rPr>
            </w:pPr>
          </w:p>
        </w:tc>
        <w:tc>
          <w:tcPr>
            <w:tcW w:w="1890" w:type="dxa"/>
            <w:tcBorders>
              <w:top w:val="single" w:color="auto" w:sz="4" w:space="0"/>
              <w:left w:val="nil"/>
              <w:bottom w:val="single" w:color="auto" w:sz="4" w:space="0"/>
              <w:right w:val="single" w:color="auto" w:sz="4" w:space="0"/>
            </w:tcBorders>
          </w:tcPr>
          <w:p w14:paraId="7D24CE52">
            <w:pPr>
              <w:spacing w:line="480" w:lineRule="exact"/>
              <w:rPr>
                <w:rFonts w:ascii="Times New Roman" w:hAnsi="Times New Roman"/>
                <w:color w:val="auto"/>
                <w:sz w:val="24"/>
                <w:szCs w:val="24"/>
                <w:highlight w:val="none"/>
              </w:rPr>
            </w:pPr>
          </w:p>
        </w:tc>
        <w:tc>
          <w:tcPr>
            <w:tcW w:w="1972" w:type="dxa"/>
            <w:tcBorders>
              <w:top w:val="single" w:color="auto" w:sz="4" w:space="0"/>
              <w:left w:val="nil"/>
              <w:bottom w:val="single" w:color="auto" w:sz="4" w:space="0"/>
              <w:right w:val="single" w:color="auto" w:sz="4" w:space="0"/>
            </w:tcBorders>
          </w:tcPr>
          <w:p w14:paraId="5EFDAD01">
            <w:pPr>
              <w:spacing w:line="480" w:lineRule="exact"/>
              <w:rPr>
                <w:rFonts w:ascii="Times New Roman" w:hAnsi="Times New Roman"/>
                <w:color w:val="auto"/>
                <w:sz w:val="24"/>
                <w:szCs w:val="24"/>
                <w:highlight w:val="none"/>
              </w:rPr>
            </w:pPr>
          </w:p>
        </w:tc>
        <w:tc>
          <w:tcPr>
            <w:tcW w:w="1251" w:type="dxa"/>
            <w:tcBorders>
              <w:top w:val="single" w:color="auto" w:sz="4" w:space="0"/>
              <w:left w:val="nil"/>
              <w:bottom w:val="single" w:color="auto" w:sz="4" w:space="0"/>
              <w:right w:val="single" w:color="auto" w:sz="4" w:space="0"/>
            </w:tcBorders>
          </w:tcPr>
          <w:p w14:paraId="51D61E09">
            <w:pPr>
              <w:spacing w:line="480" w:lineRule="exact"/>
              <w:rPr>
                <w:rFonts w:ascii="Times New Roman" w:hAnsi="Times New Roman"/>
                <w:color w:val="auto"/>
                <w:sz w:val="24"/>
                <w:szCs w:val="24"/>
                <w:highlight w:val="none"/>
              </w:rPr>
            </w:pPr>
          </w:p>
        </w:tc>
      </w:tr>
      <w:tr w14:paraId="16FB24A3">
        <w:tblPrEx>
          <w:tblCellMar>
            <w:top w:w="0" w:type="dxa"/>
            <w:left w:w="108" w:type="dxa"/>
            <w:bottom w:w="0" w:type="dxa"/>
            <w:right w:w="108" w:type="dxa"/>
          </w:tblCellMar>
        </w:tblPrEx>
        <w:trPr>
          <w:jc w:val="center"/>
        </w:trPr>
        <w:tc>
          <w:tcPr>
            <w:tcW w:w="810" w:type="dxa"/>
            <w:tcBorders>
              <w:top w:val="single" w:color="auto" w:sz="4" w:space="0"/>
              <w:left w:val="single" w:color="auto" w:sz="4" w:space="0"/>
              <w:bottom w:val="single" w:color="auto" w:sz="4" w:space="0"/>
              <w:right w:val="single" w:color="auto" w:sz="4" w:space="0"/>
            </w:tcBorders>
          </w:tcPr>
          <w:p w14:paraId="5C6CF9CC">
            <w:pPr>
              <w:spacing w:line="480" w:lineRule="exact"/>
              <w:rPr>
                <w:rFonts w:ascii="Times New Roman" w:hAnsi="Times New Roman"/>
                <w:color w:val="auto"/>
                <w:sz w:val="24"/>
                <w:szCs w:val="24"/>
                <w:highlight w:val="none"/>
              </w:rPr>
            </w:pPr>
          </w:p>
        </w:tc>
        <w:tc>
          <w:tcPr>
            <w:tcW w:w="1281" w:type="dxa"/>
            <w:tcBorders>
              <w:top w:val="single" w:color="auto" w:sz="4" w:space="0"/>
              <w:left w:val="nil"/>
              <w:bottom w:val="single" w:color="auto" w:sz="4" w:space="0"/>
              <w:right w:val="single" w:color="auto" w:sz="4" w:space="0"/>
            </w:tcBorders>
          </w:tcPr>
          <w:p w14:paraId="157D670C">
            <w:pPr>
              <w:spacing w:line="480" w:lineRule="exact"/>
              <w:rPr>
                <w:rFonts w:ascii="Times New Roman" w:hAnsi="Times New Roman"/>
                <w:color w:val="auto"/>
                <w:sz w:val="24"/>
                <w:szCs w:val="24"/>
                <w:highlight w:val="none"/>
              </w:rPr>
            </w:pPr>
          </w:p>
        </w:tc>
        <w:tc>
          <w:tcPr>
            <w:tcW w:w="2077" w:type="dxa"/>
            <w:tcBorders>
              <w:top w:val="single" w:color="auto" w:sz="4" w:space="0"/>
              <w:left w:val="nil"/>
              <w:bottom w:val="single" w:color="auto" w:sz="4" w:space="0"/>
              <w:right w:val="single" w:color="auto" w:sz="4" w:space="0"/>
            </w:tcBorders>
          </w:tcPr>
          <w:p w14:paraId="333CB1F3">
            <w:pPr>
              <w:spacing w:line="480" w:lineRule="exact"/>
              <w:rPr>
                <w:rFonts w:ascii="Times New Roman" w:hAnsi="Times New Roman"/>
                <w:color w:val="auto"/>
                <w:sz w:val="24"/>
                <w:szCs w:val="24"/>
                <w:highlight w:val="none"/>
              </w:rPr>
            </w:pPr>
          </w:p>
        </w:tc>
        <w:tc>
          <w:tcPr>
            <w:tcW w:w="1890" w:type="dxa"/>
            <w:tcBorders>
              <w:top w:val="single" w:color="auto" w:sz="4" w:space="0"/>
              <w:left w:val="nil"/>
              <w:bottom w:val="single" w:color="auto" w:sz="4" w:space="0"/>
              <w:right w:val="single" w:color="auto" w:sz="4" w:space="0"/>
            </w:tcBorders>
          </w:tcPr>
          <w:p w14:paraId="14234B21">
            <w:pPr>
              <w:spacing w:line="480" w:lineRule="exact"/>
              <w:rPr>
                <w:rFonts w:ascii="Times New Roman" w:hAnsi="Times New Roman"/>
                <w:color w:val="auto"/>
                <w:sz w:val="24"/>
                <w:szCs w:val="24"/>
                <w:highlight w:val="none"/>
              </w:rPr>
            </w:pPr>
          </w:p>
        </w:tc>
        <w:tc>
          <w:tcPr>
            <w:tcW w:w="1972" w:type="dxa"/>
            <w:tcBorders>
              <w:top w:val="single" w:color="auto" w:sz="4" w:space="0"/>
              <w:left w:val="nil"/>
              <w:bottom w:val="single" w:color="auto" w:sz="4" w:space="0"/>
              <w:right w:val="single" w:color="auto" w:sz="4" w:space="0"/>
            </w:tcBorders>
          </w:tcPr>
          <w:p w14:paraId="1B49996E">
            <w:pPr>
              <w:spacing w:line="480" w:lineRule="exact"/>
              <w:rPr>
                <w:rFonts w:ascii="Times New Roman" w:hAnsi="Times New Roman"/>
                <w:color w:val="auto"/>
                <w:sz w:val="24"/>
                <w:szCs w:val="24"/>
                <w:highlight w:val="none"/>
              </w:rPr>
            </w:pPr>
          </w:p>
        </w:tc>
        <w:tc>
          <w:tcPr>
            <w:tcW w:w="1251" w:type="dxa"/>
            <w:tcBorders>
              <w:top w:val="single" w:color="auto" w:sz="4" w:space="0"/>
              <w:left w:val="nil"/>
              <w:bottom w:val="single" w:color="auto" w:sz="4" w:space="0"/>
              <w:right w:val="single" w:color="auto" w:sz="4" w:space="0"/>
            </w:tcBorders>
          </w:tcPr>
          <w:p w14:paraId="147227AC">
            <w:pPr>
              <w:spacing w:line="480" w:lineRule="exact"/>
              <w:rPr>
                <w:rFonts w:ascii="Times New Roman" w:hAnsi="Times New Roman"/>
                <w:color w:val="auto"/>
                <w:sz w:val="24"/>
                <w:szCs w:val="24"/>
                <w:highlight w:val="none"/>
              </w:rPr>
            </w:pPr>
          </w:p>
        </w:tc>
      </w:tr>
      <w:tr w14:paraId="670DDCF7">
        <w:tblPrEx>
          <w:tblCellMar>
            <w:top w:w="0" w:type="dxa"/>
            <w:left w:w="108" w:type="dxa"/>
            <w:bottom w:w="0" w:type="dxa"/>
            <w:right w:w="108" w:type="dxa"/>
          </w:tblCellMar>
        </w:tblPrEx>
        <w:trPr>
          <w:jc w:val="center"/>
        </w:trPr>
        <w:tc>
          <w:tcPr>
            <w:tcW w:w="810" w:type="dxa"/>
            <w:tcBorders>
              <w:top w:val="single" w:color="auto" w:sz="4" w:space="0"/>
              <w:left w:val="single" w:color="auto" w:sz="4" w:space="0"/>
              <w:bottom w:val="single" w:color="auto" w:sz="4" w:space="0"/>
              <w:right w:val="single" w:color="auto" w:sz="4" w:space="0"/>
            </w:tcBorders>
          </w:tcPr>
          <w:p w14:paraId="09158EAC">
            <w:pPr>
              <w:spacing w:line="480" w:lineRule="exact"/>
              <w:rPr>
                <w:rFonts w:ascii="Times New Roman" w:hAnsi="Times New Roman"/>
                <w:color w:val="auto"/>
                <w:sz w:val="24"/>
                <w:szCs w:val="24"/>
                <w:highlight w:val="none"/>
              </w:rPr>
            </w:pPr>
          </w:p>
        </w:tc>
        <w:tc>
          <w:tcPr>
            <w:tcW w:w="1281" w:type="dxa"/>
            <w:tcBorders>
              <w:top w:val="single" w:color="auto" w:sz="4" w:space="0"/>
              <w:left w:val="nil"/>
              <w:bottom w:val="single" w:color="auto" w:sz="4" w:space="0"/>
              <w:right w:val="single" w:color="auto" w:sz="4" w:space="0"/>
            </w:tcBorders>
          </w:tcPr>
          <w:p w14:paraId="04FC0B84">
            <w:pPr>
              <w:spacing w:line="480" w:lineRule="exact"/>
              <w:rPr>
                <w:rFonts w:ascii="Times New Roman" w:hAnsi="Times New Roman"/>
                <w:color w:val="auto"/>
                <w:sz w:val="24"/>
                <w:szCs w:val="24"/>
                <w:highlight w:val="none"/>
              </w:rPr>
            </w:pPr>
          </w:p>
        </w:tc>
        <w:tc>
          <w:tcPr>
            <w:tcW w:w="2077" w:type="dxa"/>
            <w:tcBorders>
              <w:top w:val="single" w:color="auto" w:sz="4" w:space="0"/>
              <w:left w:val="nil"/>
              <w:bottom w:val="single" w:color="auto" w:sz="4" w:space="0"/>
              <w:right w:val="single" w:color="auto" w:sz="4" w:space="0"/>
            </w:tcBorders>
          </w:tcPr>
          <w:p w14:paraId="468BE41F">
            <w:pPr>
              <w:spacing w:line="480" w:lineRule="exact"/>
              <w:rPr>
                <w:rFonts w:ascii="Times New Roman" w:hAnsi="Times New Roman"/>
                <w:color w:val="auto"/>
                <w:sz w:val="24"/>
                <w:szCs w:val="24"/>
                <w:highlight w:val="none"/>
              </w:rPr>
            </w:pPr>
          </w:p>
        </w:tc>
        <w:tc>
          <w:tcPr>
            <w:tcW w:w="1890" w:type="dxa"/>
            <w:tcBorders>
              <w:top w:val="single" w:color="auto" w:sz="4" w:space="0"/>
              <w:left w:val="nil"/>
              <w:bottom w:val="single" w:color="auto" w:sz="4" w:space="0"/>
              <w:right w:val="single" w:color="auto" w:sz="4" w:space="0"/>
            </w:tcBorders>
          </w:tcPr>
          <w:p w14:paraId="4E768CFE">
            <w:pPr>
              <w:spacing w:line="480" w:lineRule="exact"/>
              <w:rPr>
                <w:rFonts w:ascii="Times New Roman" w:hAnsi="Times New Roman"/>
                <w:color w:val="auto"/>
                <w:sz w:val="24"/>
                <w:szCs w:val="24"/>
                <w:highlight w:val="none"/>
              </w:rPr>
            </w:pPr>
          </w:p>
        </w:tc>
        <w:tc>
          <w:tcPr>
            <w:tcW w:w="1972" w:type="dxa"/>
            <w:tcBorders>
              <w:top w:val="single" w:color="auto" w:sz="4" w:space="0"/>
              <w:left w:val="nil"/>
              <w:bottom w:val="single" w:color="auto" w:sz="4" w:space="0"/>
              <w:right w:val="single" w:color="auto" w:sz="4" w:space="0"/>
            </w:tcBorders>
          </w:tcPr>
          <w:p w14:paraId="2F69599B">
            <w:pPr>
              <w:spacing w:line="480" w:lineRule="exact"/>
              <w:rPr>
                <w:rFonts w:ascii="Times New Roman" w:hAnsi="Times New Roman"/>
                <w:color w:val="auto"/>
                <w:sz w:val="24"/>
                <w:szCs w:val="24"/>
                <w:highlight w:val="none"/>
              </w:rPr>
            </w:pPr>
          </w:p>
        </w:tc>
        <w:tc>
          <w:tcPr>
            <w:tcW w:w="1251" w:type="dxa"/>
            <w:tcBorders>
              <w:top w:val="single" w:color="auto" w:sz="4" w:space="0"/>
              <w:left w:val="nil"/>
              <w:bottom w:val="single" w:color="auto" w:sz="4" w:space="0"/>
              <w:right w:val="single" w:color="auto" w:sz="4" w:space="0"/>
            </w:tcBorders>
          </w:tcPr>
          <w:p w14:paraId="28E91449">
            <w:pPr>
              <w:spacing w:line="480" w:lineRule="exact"/>
              <w:rPr>
                <w:rFonts w:ascii="Times New Roman" w:hAnsi="Times New Roman"/>
                <w:color w:val="auto"/>
                <w:sz w:val="24"/>
                <w:szCs w:val="24"/>
                <w:highlight w:val="none"/>
              </w:rPr>
            </w:pPr>
          </w:p>
        </w:tc>
      </w:tr>
      <w:tr w14:paraId="13B1AEDB">
        <w:tblPrEx>
          <w:tblCellMar>
            <w:top w:w="0" w:type="dxa"/>
            <w:left w:w="108" w:type="dxa"/>
            <w:bottom w:w="0" w:type="dxa"/>
            <w:right w:w="108" w:type="dxa"/>
          </w:tblCellMar>
        </w:tblPrEx>
        <w:trPr>
          <w:jc w:val="center"/>
        </w:trPr>
        <w:tc>
          <w:tcPr>
            <w:tcW w:w="810" w:type="dxa"/>
            <w:tcBorders>
              <w:top w:val="single" w:color="auto" w:sz="4" w:space="0"/>
              <w:left w:val="single" w:color="auto" w:sz="4" w:space="0"/>
              <w:bottom w:val="single" w:color="auto" w:sz="4" w:space="0"/>
              <w:right w:val="single" w:color="auto" w:sz="4" w:space="0"/>
            </w:tcBorders>
          </w:tcPr>
          <w:p w14:paraId="72D1088D">
            <w:pPr>
              <w:spacing w:line="480" w:lineRule="exact"/>
              <w:rPr>
                <w:rFonts w:ascii="Times New Roman" w:hAnsi="Times New Roman"/>
                <w:color w:val="auto"/>
                <w:sz w:val="24"/>
                <w:szCs w:val="24"/>
                <w:highlight w:val="none"/>
              </w:rPr>
            </w:pPr>
          </w:p>
        </w:tc>
        <w:tc>
          <w:tcPr>
            <w:tcW w:w="1281" w:type="dxa"/>
            <w:tcBorders>
              <w:top w:val="single" w:color="auto" w:sz="4" w:space="0"/>
              <w:left w:val="nil"/>
              <w:bottom w:val="single" w:color="auto" w:sz="4" w:space="0"/>
              <w:right w:val="single" w:color="auto" w:sz="4" w:space="0"/>
            </w:tcBorders>
          </w:tcPr>
          <w:p w14:paraId="6BB500CD">
            <w:pPr>
              <w:spacing w:line="480" w:lineRule="exact"/>
              <w:rPr>
                <w:rFonts w:ascii="Times New Roman" w:hAnsi="Times New Roman"/>
                <w:color w:val="auto"/>
                <w:sz w:val="24"/>
                <w:szCs w:val="24"/>
                <w:highlight w:val="none"/>
              </w:rPr>
            </w:pPr>
          </w:p>
        </w:tc>
        <w:tc>
          <w:tcPr>
            <w:tcW w:w="2077" w:type="dxa"/>
            <w:tcBorders>
              <w:top w:val="single" w:color="auto" w:sz="4" w:space="0"/>
              <w:left w:val="nil"/>
              <w:bottom w:val="single" w:color="auto" w:sz="4" w:space="0"/>
              <w:right w:val="single" w:color="auto" w:sz="4" w:space="0"/>
            </w:tcBorders>
          </w:tcPr>
          <w:p w14:paraId="57E306F8">
            <w:pPr>
              <w:spacing w:line="480" w:lineRule="exact"/>
              <w:rPr>
                <w:rFonts w:ascii="Times New Roman" w:hAnsi="Times New Roman"/>
                <w:color w:val="auto"/>
                <w:sz w:val="24"/>
                <w:szCs w:val="24"/>
                <w:highlight w:val="none"/>
              </w:rPr>
            </w:pPr>
          </w:p>
        </w:tc>
        <w:tc>
          <w:tcPr>
            <w:tcW w:w="1890" w:type="dxa"/>
            <w:tcBorders>
              <w:top w:val="single" w:color="auto" w:sz="4" w:space="0"/>
              <w:left w:val="nil"/>
              <w:bottom w:val="single" w:color="auto" w:sz="4" w:space="0"/>
              <w:right w:val="single" w:color="auto" w:sz="4" w:space="0"/>
            </w:tcBorders>
          </w:tcPr>
          <w:p w14:paraId="4753200C">
            <w:pPr>
              <w:spacing w:line="480" w:lineRule="exact"/>
              <w:rPr>
                <w:rFonts w:ascii="Times New Roman" w:hAnsi="Times New Roman"/>
                <w:color w:val="auto"/>
                <w:sz w:val="24"/>
                <w:szCs w:val="24"/>
                <w:highlight w:val="none"/>
              </w:rPr>
            </w:pPr>
          </w:p>
        </w:tc>
        <w:tc>
          <w:tcPr>
            <w:tcW w:w="1972" w:type="dxa"/>
            <w:tcBorders>
              <w:top w:val="single" w:color="auto" w:sz="4" w:space="0"/>
              <w:left w:val="nil"/>
              <w:bottom w:val="single" w:color="auto" w:sz="4" w:space="0"/>
              <w:right w:val="single" w:color="auto" w:sz="4" w:space="0"/>
            </w:tcBorders>
          </w:tcPr>
          <w:p w14:paraId="4027B4F4">
            <w:pPr>
              <w:spacing w:line="480" w:lineRule="exact"/>
              <w:rPr>
                <w:rFonts w:ascii="Times New Roman" w:hAnsi="Times New Roman"/>
                <w:color w:val="auto"/>
                <w:sz w:val="24"/>
                <w:szCs w:val="24"/>
                <w:highlight w:val="none"/>
              </w:rPr>
            </w:pPr>
          </w:p>
        </w:tc>
        <w:tc>
          <w:tcPr>
            <w:tcW w:w="1251" w:type="dxa"/>
            <w:tcBorders>
              <w:top w:val="single" w:color="auto" w:sz="4" w:space="0"/>
              <w:left w:val="nil"/>
              <w:bottom w:val="single" w:color="auto" w:sz="4" w:space="0"/>
              <w:right w:val="single" w:color="auto" w:sz="4" w:space="0"/>
            </w:tcBorders>
          </w:tcPr>
          <w:p w14:paraId="6E627223">
            <w:pPr>
              <w:spacing w:line="480" w:lineRule="exact"/>
              <w:rPr>
                <w:rFonts w:ascii="Times New Roman" w:hAnsi="Times New Roman"/>
                <w:color w:val="auto"/>
                <w:sz w:val="24"/>
                <w:szCs w:val="24"/>
                <w:highlight w:val="none"/>
              </w:rPr>
            </w:pPr>
          </w:p>
        </w:tc>
      </w:tr>
      <w:tr w14:paraId="41EC415D">
        <w:tblPrEx>
          <w:tblCellMar>
            <w:top w:w="0" w:type="dxa"/>
            <w:left w:w="108" w:type="dxa"/>
            <w:bottom w:w="0" w:type="dxa"/>
            <w:right w:w="108" w:type="dxa"/>
          </w:tblCellMar>
        </w:tblPrEx>
        <w:trPr>
          <w:jc w:val="center"/>
        </w:trPr>
        <w:tc>
          <w:tcPr>
            <w:tcW w:w="810" w:type="dxa"/>
            <w:tcBorders>
              <w:top w:val="single" w:color="auto" w:sz="4" w:space="0"/>
              <w:left w:val="single" w:color="auto" w:sz="4" w:space="0"/>
              <w:bottom w:val="single" w:color="auto" w:sz="4" w:space="0"/>
              <w:right w:val="single" w:color="auto" w:sz="4" w:space="0"/>
            </w:tcBorders>
          </w:tcPr>
          <w:p w14:paraId="68FE2625">
            <w:pPr>
              <w:spacing w:line="480" w:lineRule="exact"/>
              <w:rPr>
                <w:rFonts w:ascii="Times New Roman" w:hAnsi="Times New Roman"/>
                <w:color w:val="auto"/>
                <w:sz w:val="24"/>
                <w:szCs w:val="24"/>
                <w:highlight w:val="none"/>
              </w:rPr>
            </w:pPr>
          </w:p>
        </w:tc>
        <w:tc>
          <w:tcPr>
            <w:tcW w:w="1281" w:type="dxa"/>
            <w:tcBorders>
              <w:top w:val="single" w:color="auto" w:sz="4" w:space="0"/>
              <w:left w:val="nil"/>
              <w:bottom w:val="single" w:color="auto" w:sz="4" w:space="0"/>
              <w:right w:val="single" w:color="auto" w:sz="4" w:space="0"/>
            </w:tcBorders>
          </w:tcPr>
          <w:p w14:paraId="7624750B">
            <w:pPr>
              <w:spacing w:line="480" w:lineRule="exact"/>
              <w:rPr>
                <w:rFonts w:ascii="Times New Roman" w:hAnsi="Times New Roman"/>
                <w:color w:val="auto"/>
                <w:sz w:val="24"/>
                <w:szCs w:val="24"/>
                <w:highlight w:val="none"/>
              </w:rPr>
            </w:pPr>
          </w:p>
        </w:tc>
        <w:tc>
          <w:tcPr>
            <w:tcW w:w="2077" w:type="dxa"/>
            <w:tcBorders>
              <w:top w:val="single" w:color="auto" w:sz="4" w:space="0"/>
              <w:left w:val="nil"/>
              <w:bottom w:val="single" w:color="auto" w:sz="4" w:space="0"/>
              <w:right w:val="single" w:color="auto" w:sz="4" w:space="0"/>
            </w:tcBorders>
          </w:tcPr>
          <w:p w14:paraId="66351F4B">
            <w:pPr>
              <w:spacing w:line="480" w:lineRule="exact"/>
              <w:rPr>
                <w:rFonts w:ascii="Times New Roman" w:hAnsi="Times New Roman"/>
                <w:color w:val="auto"/>
                <w:sz w:val="24"/>
                <w:szCs w:val="24"/>
                <w:highlight w:val="none"/>
              </w:rPr>
            </w:pPr>
          </w:p>
        </w:tc>
        <w:tc>
          <w:tcPr>
            <w:tcW w:w="1890" w:type="dxa"/>
            <w:tcBorders>
              <w:top w:val="single" w:color="auto" w:sz="4" w:space="0"/>
              <w:left w:val="nil"/>
              <w:bottom w:val="single" w:color="auto" w:sz="4" w:space="0"/>
              <w:right w:val="single" w:color="auto" w:sz="4" w:space="0"/>
            </w:tcBorders>
          </w:tcPr>
          <w:p w14:paraId="5CD969CE">
            <w:pPr>
              <w:spacing w:line="480" w:lineRule="exact"/>
              <w:rPr>
                <w:rFonts w:ascii="Times New Roman" w:hAnsi="Times New Roman"/>
                <w:color w:val="auto"/>
                <w:sz w:val="24"/>
                <w:szCs w:val="24"/>
                <w:highlight w:val="none"/>
              </w:rPr>
            </w:pPr>
          </w:p>
        </w:tc>
        <w:tc>
          <w:tcPr>
            <w:tcW w:w="1972" w:type="dxa"/>
            <w:tcBorders>
              <w:top w:val="single" w:color="auto" w:sz="4" w:space="0"/>
              <w:left w:val="nil"/>
              <w:bottom w:val="single" w:color="auto" w:sz="4" w:space="0"/>
              <w:right w:val="single" w:color="auto" w:sz="4" w:space="0"/>
            </w:tcBorders>
          </w:tcPr>
          <w:p w14:paraId="7D305D78">
            <w:pPr>
              <w:spacing w:line="480" w:lineRule="exact"/>
              <w:rPr>
                <w:rFonts w:ascii="Times New Roman" w:hAnsi="Times New Roman"/>
                <w:color w:val="auto"/>
                <w:sz w:val="24"/>
                <w:szCs w:val="24"/>
                <w:highlight w:val="none"/>
              </w:rPr>
            </w:pPr>
          </w:p>
        </w:tc>
        <w:tc>
          <w:tcPr>
            <w:tcW w:w="1251" w:type="dxa"/>
            <w:tcBorders>
              <w:top w:val="single" w:color="auto" w:sz="4" w:space="0"/>
              <w:left w:val="nil"/>
              <w:bottom w:val="single" w:color="auto" w:sz="4" w:space="0"/>
              <w:right w:val="single" w:color="auto" w:sz="4" w:space="0"/>
            </w:tcBorders>
          </w:tcPr>
          <w:p w14:paraId="210E47C3">
            <w:pPr>
              <w:spacing w:line="480" w:lineRule="exact"/>
              <w:rPr>
                <w:rFonts w:ascii="Times New Roman" w:hAnsi="Times New Roman"/>
                <w:color w:val="auto"/>
                <w:sz w:val="24"/>
                <w:szCs w:val="24"/>
                <w:highlight w:val="none"/>
              </w:rPr>
            </w:pPr>
          </w:p>
        </w:tc>
      </w:tr>
      <w:tr w14:paraId="1A4A896B">
        <w:tblPrEx>
          <w:tblCellMar>
            <w:top w:w="0" w:type="dxa"/>
            <w:left w:w="108" w:type="dxa"/>
            <w:bottom w:w="0" w:type="dxa"/>
            <w:right w:w="108" w:type="dxa"/>
          </w:tblCellMar>
        </w:tblPrEx>
        <w:trPr>
          <w:jc w:val="center"/>
        </w:trPr>
        <w:tc>
          <w:tcPr>
            <w:tcW w:w="810" w:type="dxa"/>
            <w:tcBorders>
              <w:top w:val="single" w:color="auto" w:sz="4" w:space="0"/>
              <w:left w:val="single" w:color="auto" w:sz="4" w:space="0"/>
              <w:bottom w:val="single" w:color="auto" w:sz="4" w:space="0"/>
              <w:right w:val="single" w:color="auto" w:sz="4" w:space="0"/>
            </w:tcBorders>
          </w:tcPr>
          <w:p w14:paraId="7B00C12F">
            <w:pPr>
              <w:spacing w:line="480" w:lineRule="exact"/>
              <w:rPr>
                <w:rFonts w:ascii="Times New Roman" w:hAnsi="Times New Roman"/>
                <w:color w:val="auto"/>
                <w:sz w:val="24"/>
                <w:szCs w:val="24"/>
                <w:highlight w:val="none"/>
              </w:rPr>
            </w:pPr>
          </w:p>
        </w:tc>
        <w:tc>
          <w:tcPr>
            <w:tcW w:w="1281" w:type="dxa"/>
            <w:tcBorders>
              <w:top w:val="single" w:color="auto" w:sz="4" w:space="0"/>
              <w:left w:val="nil"/>
              <w:bottom w:val="single" w:color="auto" w:sz="4" w:space="0"/>
              <w:right w:val="single" w:color="auto" w:sz="4" w:space="0"/>
            </w:tcBorders>
          </w:tcPr>
          <w:p w14:paraId="69F91019">
            <w:pPr>
              <w:spacing w:line="480" w:lineRule="exact"/>
              <w:rPr>
                <w:rFonts w:ascii="Times New Roman" w:hAnsi="Times New Roman"/>
                <w:color w:val="auto"/>
                <w:sz w:val="24"/>
                <w:szCs w:val="24"/>
                <w:highlight w:val="none"/>
              </w:rPr>
            </w:pPr>
          </w:p>
        </w:tc>
        <w:tc>
          <w:tcPr>
            <w:tcW w:w="2077" w:type="dxa"/>
            <w:tcBorders>
              <w:top w:val="single" w:color="auto" w:sz="4" w:space="0"/>
              <w:left w:val="nil"/>
              <w:bottom w:val="single" w:color="auto" w:sz="4" w:space="0"/>
              <w:right w:val="single" w:color="auto" w:sz="4" w:space="0"/>
            </w:tcBorders>
          </w:tcPr>
          <w:p w14:paraId="6E760271">
            <w:pPr>
              <w:spacing w:line="480" w:lineRule="exact"/>
              <w:rPr>
                <w:rFonts w:ascii="Times New Roman" w:hAnsi="Times New Roman"/>
                <w:color w:val="auto"/>
                <w:sz w:val="24"/>
                <w:szCs w:val="24"/>
                <w:highlight w:val="none"/>
              </w:rPr>
            </w:pPr>
          </w:p>
        </w:tc>
        <w:tc>
          <w:tcPr>
            <w:tcW w:w="1890" w:type="dxa"/>
            <w:tcBorders>
              <w:top w:val="single" w:color="auto" w:sz="4" w:space="0"/>
              <w:left w:val="nil"/>
              <w:bottom w:val="single" w:color="auto" w:sz="4" w:space="0"/>
              <w:right w:val="single" w:color="auto" w:sz="4" w:space="0"/>
            </w:tcBorders>
          </w:tcPr>
          <w:p w14:paraId="7683A437">
            <w:pPr>
              <w:spacing w:line="480" w:lineRule="exact"/>
              <w:rPr>
                <w:rFonts w:ascii="Times New Roman" w:hAnsi="Times New Roman"/>
                <w:color w:val="auto"/>
                <w:sz w:val="24"/>
                <w:szCs w:val="24"/>
                <w:highlight w:val="none"/>
              </w:rPr>
            </w:pPr>
          </w:p>
        </w:tc>
        <w:tc>
          <w:tcPr>
            <w:tcW w:w="1972" w:type="dxa"/>
            <w:tcBorders>
              <w:top w:val="single" w:color="auto" w:sz="4" w:space="0"/>
              <w:left w:val="nil"/>
              <w:bottom w:val="single" w:color="auto" w:sz="4" w:space="0"/>
              <w:right w:val="single" w:color="auto" w:sz="4" w:space="0"/>
            </w:tcBorders>
          </w:tcPr>
          <w:p w14:paraId="563F2D24">
            <w:pPr>
              <w:spacing w:line="480" w:lineRule="exact"/>
              <w:rPr>
                <w:rFonts w:ascii="Times New Roman" w:hAnsi="Times New Roman"/>
                <w:color w:val="auto"/>
                <w:sz w:val="24"/>
                <w:szCs w:val="24"/>
                <w:highlight w:val="none"/>
              </w:rPr>
            </w:pPr>
          </w:p>
        </w:tc>
        <w:tc>
          <w:tcPr>
            <w:tcW w:w="1251" w:type="dxa"/>
            <w:tcBorders>
              <w:top w:val="single" w:color="auto" w:sz="4" w:space="0"/>
              <w:left w:val="nil"/>
              <w:bottom w:val="single" w:color="auto" w:sz="4" w:space="0"/>
              <w:right w:val="single" w:color="auto" w:sz="4" w:space="0"/>
            </w:tcBorders>
          </w:tcPr>
          <w:p w14:paraId="009265B0">
            <w:pPr>
              <w:spacing w:line="480" w:lineRule="exact"/>
              <w:rPr>
                <w:rFonts w:ascii="Times New Roman" w:hAnsi="Times New Roman"/>
                <w:color w:val="auto"/>
                <w:sz w:val="24"/>
                <w:szCs w:val="24"/>
                <w:highlight w:val="none"/>
              </w:rPr>
            </w:pPr>
          </w:p>
        </w:tc>
      </w:tr>
      <w:tr w14:paraId="4DAB8F3A">
        <w:tblPrEx>
          <w:tblCellMar>
            <w:top w:w="0" w:type="dxa"/>
            <w:left w:w="108" w:type="dxa"/>
            <w:bottom w:w="0" w:type="dxa"/>
            <w:right w:w="108" w:type="dxa"/>
          </w:tblCellMar>
        </w:tblPrEx>
        <w:trPr>
          <w:jc w:val="center"/>
        </w:trPr>
        <w:tc>
          <w:tcPr>
            <w:tcW w:w="810" w:type="dxa"/>
            <w:tcBorders>
              <w:top w:val="single" w:color="auto" w:sz="4" w:space="0"/>
              <w:left w:val="single" w:color="auto" w:sz="4" w:space="0"/>
              <w:bottom w:val="single" w:color="auto" w:sz="4" w:space="0"/>
              <w:right w:val="single" w:color="auto" w:sz="4" w:space="0"/>
            </w:tcBorders>
          </w:tcPr>
          <w:p w14:paraId="58D9D15B">
            <w:pPr>
              <w:spacing w:line="480" w:lineRule="exact"/>
              <w:rPr>
                <w:rFonts w:ascii="Times New Roman" w:hAnsi="Times New Roman"/>
                <w:color w:val="auto"/>
                <w:sz w:val="24"/>
                <w:szCs w:val="24"/>
                <w:highlight w:val="none"/>
              </w:rPr>
            </w:pPr>
          </w:p>
        </w:tc>
        <w:tc>
          <w:tcPr>
            <w:tcW w:w="1281" w:type="dxa"/>
            <w:tcBorders>
              <w:top w:val="single" w:color="auto" w:sz="4" w:space="0"/>
              <w:left w:val="nil"/>
              <w:bottom w:val="single" w:color="auto" w:sz="4" w:space="0"/>
              <w:right w:val="single" w:color="auto" w:sz="4" w:space="0"/>
            </w:tcBorders>
          </w:tcPr>
          <w:p w14:paraId="4B9C36D8">
            <w:pPr>
              <w:spacing w:line="480" w:lineRule="exact"/>
              <w:rPr>
                <w:rFonts w:ascii="Times New Roman" w:hAnsi="Times New Roman"/>
                <w:color w:val="auto"/>
                <w:sz w:val="24"/>
                <w:szCs w:val="24"/>
                <w:highlight w:val="none"/>
              </w:rPr>
            </w:pPr>
          </w:p>
        </w:tc>
        <w:tc>
          <w:tcPr>
            <w:tcW w:w="2077" w:type="dxa"/>
            <w:tcBorders>
              <w:top w:val="single" w:color="auto" w:sz="4" w:space="0"/>
              <w:left w:val="nil"/>
              <w:bottom w:val="single" w:color="auto" w:sz="4" w:space="0"/>
              <w:right w:val="single" w:color="auto" w:sz="4" w:space="0"/>
            </w:tcBorders>
          </w:tcPr>
          <w:p w14:paraId="69BFE129">
            <w:pPr>
              <w:spacing w:line="480" w:lineRule="exact"/>
              <w:rPr>
                <w:rFonts w:ascii="Times New Roman" w:hAnsi="Times New Roman"/>
                <w:color w:val="auto"/>
                <w:sz w:val="24"/>
                <w:szCs w:val="24"/>
                <w:highlight w:val="none"/>
              </w:rPr>
            </w:pPr>
          </w:p>
        </w:tc>
        <w:tc>
          <w:tcPr>
            <w:tcW w:w="1890" w:type="dxa"/>
            <w:tcBorders>
              <w:top w:val="single" w:color="auto" w:sz="4" w:space="0"/>
              <w:left w:val="nil"/>
              <w:bottom w:val="single" w:color="auto" w:sz="4" w:space="0"/>
              <w:right w:val="single" w:color="auto" w:sz="4" w:space="0"/>
            </w:tcBorders>
          </w:tcPr>
          <w:p w14:paraId="57FE521E">
            <w:pPr>
              <w:spacing w:line="480" w:lineRule="exact"/>
              <w:rPr>
                <w:rFonts w:ascii="Times New Roman" w:hAnsi="Times New Roman"/>
                <w:color w:val="auto"/>
                <w:sz w:val="24"/>
                <w:szCs w:val="24"/>
                <w:highlight w:val="none"/>
              </w:rPr>
            </w:pPr>
          </w:p>
        </w:tc>
        <w:tc>
          <w:tcPr>
            <w:tcW w:w="1972" w:type="dxa"/>
            <w:tcBorders>
              <w:top w:val="single" w:color="auto" w:sz="4" w:space="0"/>
              <w:left w:val="nil"/>
              <w:bottom w:val="single" w:color="auto" w:sz="4" w:space="0"/>
              <w:right w:val="single" w:color="auto" w:sz="4" w:space="0"/>
            </w:tcBorders>
          </w:tcPr>
          <w:p w14:paraId="790881D0">
            <w:pPr>
              <w:spacing w:line="480" w:lineRule="exact"/>
              <w:rPr>
                <w:rFonts w:ascii="Times New Roman" w:hAnsi="Times New Roman"/>
                <w:color w:val="auto"/>
                <w:sz w:val="24"/>
                <w:szCs w:val="24"/>
                <w:highlight w:val="none"/>
              </w:rPr>
            </w:pPr>
          </w:p>
        </w:tc>
        <w:tc>
          <w:tcPr>
            <w:tcW w:w="1251" w:type="dxa"/>
            <w:tcBorders>
              <w:top w:val="single" w:color="auto" w:sz="4" w:space="0"/>
              <w:left w:val="nil"/>
              <w:bottom w:val="single" w:color="auto" w:sz="4" w:space="0"/>
              <w:right w:val="single" w:color="auto" w:sz="4" w:space="0"/>
            </w:tcBorders>
          </w:tcPr>
          <w:p w14:paraId="792B4121">
            <w:pPr>
              <w:spacing w:line="480" w:lineRule="exact"/>
              <w:rPr>
                <w:rFonts w:ascii="Times New Roman" w:hAnsi="Times New Roman"/>
                <w:color w:val="auto"/>
                <w:sz w:val="24"/>
                <w:szCs w:val="24"/>
                <w:highlight w:val="none"/>
              </w:rPr>
            </w:pPr>
          </w:p>
        </w:tc>
      </w:tr>
      <w:tr w14:paraId="605DD229">
        <w:tblPrEx>
          <w:tblCellMar>
            <w:top w:w="0" w:type="dxa"/>
            <w:left w:w="108" w:type="dxa"/>
            <w:bottom w:w="0" w:type="dxa"/>
            <w:right w:w="108" w:type="dxa"/>
          </w:tblCellMar>
        </w:tblPrEx>
        <w:trPr>
          <w:jc w:val="center"/>
        </w:trPr>
        <w:tc>
          <w:tcPr>
            <w:tcW w:w="810" w:type="dxa"/>
            <w:tcBorders>
              <w:top w:val="single" w:color="auto" w:sz="4" w:space="0"/>
              <w:left w:val="single" w:color="auto" w:sz="4" w:space="0"/>
              <w:bottom w:val="single" w:color="auto" w:sz="4" w:space="0"/>
              <w:right w:val="single" w:color="auto" w:sz="4" w:space="0"/>
            </w:tcBorders>
          </w:tcPr>
          <w:p w14:paraId="53041572">
            <w:pPr>
              <w:spacing w:line="480" w:lineRule="exact"/>
              <w:rPr>
                <w:rFonts w:ascii="Times New Roman" w:hAnsi="Times New Roman"/>
                <w:color w:val="auto"/>
                <w:sz w:val="24"/>
                <w:szCs w:val="24"/>
                <w:highlight w:val="none"/>
              </w:rPr>
            </w:pPr>
          </w:p>
        </w:tc>
        <w:tc>
          <w:tcPr>
            <w:tcW w:w="1281" w:type="dxa"/>
            <w:tcBorders>
              <w:top w:val="single" w:color="auto" w:sz="4" w:space="0"/>
              <w:left w:val="nil"/>
              <w:bottom w:val="single" w:color="auto" w:sz="4" w:space="0"/>
              <w:right w:val="single" w:color="auto" w:sz="4" w:space="0"/>
            </w:tcBorders>
          </w:tcPr>
          <w:p w14:paraId="51DE8F1C">
            <w:pPr>
              <w:spacing w:line="480" w:lineRule="exact"/>
              <w:rPr>
                <w:rFonts w:ascii="Times New Roman" w:hAnsi="Times New Roman"/>
                <w:color w:val="auto"/>
                <w:sz w:val="24"/>
                <w:szCs w:val="24"/>
                <w:highlight w:val="none"/>
              </w:rPr>
            </w:pPr>
          </w:p>
        </w:tc>
        <w:tc>
          <w:tcPr>
            <w:tcW w:w="2077" w:type="dxa"/>
            <w:tcBorders>
              <w:top w:val="single" w:color="auto" w:sz="4" w:space="0"/>
              <w:left w:val="nil"/>
              <w:bottom w:val="single" w:color="auto" w:sz="4" w:space="0"/>
              <w:right w:val="single" w:color="auto" w:sz="4" w:space="0"/>
            </w:tcBorders>
          </w:tcPr>
          <w:p w14:paraId="196C2797">
            <w:pPr>
              <w:spacing w:line="480" w:lineRule="exact"/>
              <w:rPr>
                <w:rFonts w:ascii="Times New Roman" w:hAnsi="Times New Roman"/>
                <w:color w:val="auto"/>
                <w:sz w:val="24"/>
                <w:szCs w:val="24"/>
                <w:highlight w:val="none"/>
              </w:rPr>
            </w:pPr>
          </w:p>
        </w:tc>
        <w:tc>
          <w:tcPr>
            <w:tcW w:w="1890" w:type="dxa"/>
            <w:tcBorders>
              <w:top w:val="single" w:color="auto" w:sz="4" w:space="0"/>
              <w:left w:val="nil"/>
              <w:bottom w:val="single" w:color="auto" w:sz="4" w:space="0"/>
              <w:right w:val="single" w:color="auto" w:sz="4" w:space="0"/>
            </w:tcBorders>
          </w:tcPr>
          <w:p w14:paraId="530E0749">
            <w:pPr>
              <w:spacing w:line="480" w:lineRule="exact"/>
              <w:rPr>
                <w:rFonts w:ascii="Times New Roman" w:hAnsi="Times New Roman"/>
                <w:color w:val="auto"/>
                <w:sz w:val="24"/>
                <w:szCs w:val="24"/>
                <w:highlight w:val="none"/>
              </w:rPr>
            </w:pPr>
          </w:p>
        </w:tc>
        <w:tc>
          <w:tcPr>
            <w:tcW w:w="1972" w:type="dxa"/>
            <w:tcBorders>
              <w:top w:val="single" w:color="auto" w:sz="4" w:space="0"/>
              <w:left w:val="nil"/>
              <w:bottom w:val="single" w:color="auto" w:sz="4" w:space="0"/>
              <w:right w:val="single" w:color="auto" w:sz="4" w:space="0"/>
            </w:tcBorders>
          </w:tcPr>
          <w:p w14:paraId="3FFB4290">
            <w:pPr>
              <w:spacing w:line="480" w:lineRule="exact"/>
              <w:rPr>
                <w:rFonts w:ascii="Times New Roman" w:hAnsi="Times New Roman"/>
                <w:color w:val="auto"/>
                <w:sz w:val="24"/>
                <w:szCs w:val="24"/>
                <w:highlight w:val="none"/>
              </w:rPr>
            </w:pPr>
          </w:p>
        </w:tc>
        <w:tc>
          <w:tcPr>
            <w:tcW w:w="1251" w:type="dxa"/>
            <w:tcBorders>
              <w:top w:val="single" w:color="auto" w:sz="4" w:space="0"/>
              <w:left w:val="nil"/>
              <w:bottom w:val="single" w:color="auto" w:sz="4" w:space="0"/>
              <w:right w:val="single" w:color="auto" w:sz="4" w:space="0"/>
            </w:tcBorders>
          </w:tcPr>
          <w:p w14:paraId="6FC83948">
            <w:pPr>
              <w:spacing w:line="480" w:lineRule="exact"/>
              <w:rPr>
                <w:rFonts w:ascii="Times New Roman" w:hAnsi="Times New Roman"/>
                <w:color w:val="auto"/>
                <w:sz w:val="24"/>
                <w:szCs w:val="24"/>
                <w:highlight w:val="none"/>
              </w:rPr>
            </w:pPr>
          </w:p>
        </w:tc>
      </w:tr>
      <w:tr w14:paraId="1D0733FD">
        <w:tblPrEx>
          <w:tblCellMar>
            <w:top w:w="0" w:type="dxa"/>
            <w:left w:w="108" w:type="dxa"/>
            <w:bottom w:w="0" w:type="dxa"/>
            <w:right w:w="108" w:type="dxa"/>
          </w:tblCellMar>
        </w:tblPrEx>
        <w:trPr>
          <w:jc w:val="center"/>
        </w:trPr>
        <w:tc>
          <w:tcPr>
            <w:tcW w:w="810" w:type="dxa"/>
            <w:tcBorders>
              <w:top w:val="single" w:color="auto" w:sz="4" w:space="0"/>
              <w:left w:val="single" w:color="auto" w:sz="4" w:space="0"/>
              <w:bottom w:val="single" w:color="auto" w:sz="4" w:space="0"/>
              <w:right w:val="single" w:color="auto" w:sz="4" w:space="0"/>
            </w:tcBorders>
          </w:tcPr>
          <w:p w14:paraId="3105E668">
            <w:pPr>
              <w:spacing w:line="480" w:lineRule="exact"/>
              <w:rPr>
                <w:rFonts w:ascii="Times New Roman" w:hAnsi="Times New Roman"/>
                <w:color w:val="auto"/>
                <w:sz w:val="24"/>
                <w:szCs w:val="24"/>
                <w:highlight w:val="none"/>
              </w:rPr>
            </w:pPr>
          </w:p>
        </w:tc>
        <w:tc>
          <w:tcPr>
            <w:tcW w:w="1281" w:type="dxa"/>
            <w:tcBorders>
              <w:top w:val="single" w:color="auto" w:sz="4" w:space="0"/>
              <w:left w:val="nil"/>
              <w:bottom w:val="single" w:color="auto" w:sz="4" w:space="0"/>
              <w:right w:val="single" w:color="auto" w:sz="4" w:space="0"/>
            </w:tcBorders>
          </w:tcPr>
          <w:p w14:paraId="64586E44">
            <w:pPr>
              <w:spacing w:line="480" w:lineRule="exact"/>
              <w:rPr>
                <w:rFonts w:ascii="Times New Roman" w:hAnsi="Times New Roman"/>
                <w:color w:val="auto"/>
                <w:sz w:val="24"/>
                <w:szCs w:val="24"/>
                <w:highlight w:val="none"/>
              </w:rPr>
            </w:pPr>
          </w:p>
        </w:tc>
        <w:tc>
          <w:tcPr>
            <w:tcW w:w="2077" w:type="dxa"/>
            <w:tcBorders>
              <w:top w:val="single" w:color="auto" w:sz="4" w:space="0"/>
              <w:left w:val="nil"/>
              <w:bottom w:val="single" w:color="auto" w:sz="4" w:space="0"/>
              <w:right w:val="single" w:color="auto" w:sz="4" w:space="0"/>
            </w:tcBorders>
          </w:tcPr>
          <w:p w14:paraId="5EF94BDE">
            <w:pPr>
              <w:spacing w:line="480" w:lineRule="exact"/>
              <w:rPr>
                <w:rFonts w:ascii="Times New Roman" w:hAnsi="Times New Roman"/>
                <w:color w:val="auto"/>
                <w:sz w:val="24"/>
                <w:szCs w:val="24"/>
                <w:highlight w:val="none"/>
              </w:rPr>
            </w:pPr>
          </w:p>
        </w:tc>
        <w:tc>
          <w:tcPr>
            <w:tcW w:w="1890" w:type="dxa"/>
            <w:tcBorders>
              <w:top w:val="single" w:color="auto" w:sz="4" w:space="0"/>
              <w:left w:val="nil"/>
              <w:bottom w:val="single" w:color="auto" w:sz="4" w:space="0"/>
              <w:right w:val="single" w:color="auto" w:sz="4" w:space="0"/>
            </w:tcBorders>
          </w:tcPr>
          <w:p w14:paraId="1D2B7D01">
            <w:pPr>
              <w:spacing w:line="480" w:lineRule="exact"/>
              <w:rPr>
                <w:rFonts w:ascii="Times New Roman" w:hAnsi="Times New Roman"/>
                <w:color w:val="auto"/>
                <w:sz w:val="24"/>
                <w:szCs w:val="24"/>
                <w:highlight w:val="none"/>
              </w:rPr>
            </w:pPr>
          </w:p>
        </w:tc>
        <w:tc>
          <w:tcPr>
            <w:tcW w:w="1972" w:type="dxa"/>
            <w:tcBorders>
              <w:top w:val="single" w:color="auto" w:sz="4" w:space="0"/>
              <w:left w:val="nil"/>
              <w:bottom w:val="single" w:color="auto" w:sz="4" w:space="0"/>
              <w:right w:val="single" w:color="auto" w:sz="4" w:space="0"/>
            </w:tcBorders>
          </w:tcPr>
          <w:p w14:paraId="002AD89A">
            <w:pPr>
              <w:spacing w:line="480" w:lineRule="exact"/>
              <w:rPr>
                <w:rFonts w:ascii="Times New Roman" w:hAnsi="Times New Roman"/>
                <w:color w:val="auto"/>
                <w:sz w:val="24"/>
                <w:szCs w:val="24"/>
                <w:highlight w:val="none"/>
              </w:rPr>
            </w:pPr>
          </w:p>
        </w:tc>
        <w:tc>
          <w:tcPr>
            <w:tcW w:w="1251" w:type="dxa"/>
            <w:tcBorders>
              <w:top w:val="single" w:color="auto" w:sz="4" w:space="0"/>
              <w:left w:val="nil"/>
              <w:bottom w:val="single" w:color="auto" w:sz="4" w:space="0"/>
              <w:right w:val="single" w:color="auto" w:sz="4" w:space="0"/>
            </w:tcBorders>
          </w:tcPr>
          <w:p w14:paraId="040ECAC9">
            <w:pPr>
              <w:spacing w:line="480" w:lineRule="exact"/>
              <w:rPr>
                <w:rFonts w:ascii="Times New Roman" w:hAnsi="Times New Roman"/>
                <w:color w:val="auto"/>
                <w:sz w:val="24"/>
                <w:szCs w:val="24"/>
                <w:highlight w:val="none"/>
              </w:rPr>
            </w:pPr>
          </w:p>
        </w:tc>
      </w:tr>
      <w:tr w14:paraId="3DD249A7">
        <w:tblPrEx>
          <w:tblCellMar>
            <w:top w:w="0" w:type="dxa"/>
            <w:left w:w="108" w:type="dxa"/>
            <w:bottom w:w="0" w:type="dxa"/>
            <w:right w:w="108" w:type="dxa"/>
          </w:tblCellMar>
        </w:tblPrEx>
        <w:trPr>
          <w:jc w:val="center"/>
        </w:trPr>
        <w:tc>
          <w:tcPr>
            <w:tcW w:w="810" w:type="dxa"/>
            <w:tcBorders>
              <w:top w:val="single" w:color="auto" w:sz="4" w:space="0"/>
              <w:left w:val="single" w:color="auto" w:sz="4" w:space="0"/>
              <w:bottom w:val="single" w:color="auto" w:sz="4" w:space="0"/>
              <w:right w:val="single" w:color="auto" w:sz="4" w:space="0"/>
            </w:tcBorders>
          </w:tcPr>
          <w:p w14:paraId="4EDA7822">
            <w:pPr>
              <w:spacing w:line="480" w:lineRule="exact"/>
              <w:rPr>
                <w:rFonts w:ascii="Times New Roman" w:hAnsi="Times New Roman"/>
                <w:color w:val="auto"/>
                <w:sz w:val="24"/>
                <w:szCs w:val="24"/>
                <w:highlight w:val="none"/>
              </w:rPr>
            </w:pPr>
          </w:p>
        </w:tc>
        <w:tc>
          <w:tcPr>
            <w:tcW w:w="1281" w:type="dxa"/>
            <w:tcBorders>
              <w:top w:val="single" w:color="auto" w:sz="4" w:space="0"/>
              <w:left w:val="nil"/>
              <w:bottom w:val="single" w:color="auto" w:sz="4" w:space="0"/>
              <w:right w:val="single" w:color="auto" w:sz="4" w:space="0"/>
            </w:tcBorders>
          </w:tcPr>
          <w:p w14:paraId="3C7F0DFA">
            <w:pPr>
              <w:spacing w:line="480" w:lineRule="exact"/>
              <w:rPr>
                <w:rFonts w:ascii="Times New Roman" w:hAnsi="Times New Roman"/>
                <w:color w:val="auto"/>
                <w:sz w:val="24"/>
                <w:szCs w:val="24"/>
                <w:highlight w:val="none"/>
              </w:rPr>
            </w:pPr>
          </w:p>
        </w:tc>
        <w:tc>
          <w:tcPr>
            <w:tcW w:w="2077" w:type="dxa"/>
            <w:tcBorders>
              <w:top w:val="single" w:color="auto" w:sz="4" w:space="0"/>
              <w:left w:val="nil"/>
              <w:bottom w:val="single" w:color="auto" w:sz="4" w:space="0"/>
              <w:right w:val="single" w:color="auto" w:sz="4" w:space="0"/>
            </w:tcBorders>
          </w:tcPr>
          <w:p w14:paraId="14860A4F">
            <w:pPr>
              <w:spacing w:line="480" w:lineRule="exact"/>
              <w:rPr>
                <w:rFonts w:ascii="Times New Roman" w:hAnsi="Times New Roman"/>
                <w:color w:val="auto"/>
                <w:sz w:val="24"/>
                <w:szCs w:val="24"/>
                <w:highlight w:val="none"/>
              </w:rPr>
            </w:pPr>
          </w:p>
        </w:tc>
        <w:tc>
          <w:tcPr>
            <w:tcW w:w="1890" w:type="dxa"/>
            <w:tcBorders>
              <w:top w:val="single" w:color="auto" w:sz="4" w:space="0"/>
              <w:left w:val="nil"/>
              <w:bottom w:val="single" w:color="auto" w:sz="4" w:space="0"/>
              <w:right w:val="single" w:color="auto" w:sz="4" w:space="0"/>
            </w:tcBorders>
          </w:tcPr>
          <w:p w14:paraId="65C3A2D4">
            <w:pPr>
              <w:spacing w:line="480" w:lineRule="exact"/>
              <w:rPr>
                <w:rFonts w:ascii="Times New Roman" w:hAnsi="Times New Roman"/>
                <w:color w:val="auto"/>
                <w:sz w:val="24"/>
                <w:szCs w:val="24"/>
                <w:highlight w:val="none"/>
              </w:rPr>
            </w:pPr>
          </w:p>
        </w:tc>
        <w:tc>
          <w:tcPr>
            <w:tcW w:w="1972" w:type="dxa"/>
            <w:tcBorders>
              <w:top w:val="single" w:color="auto" w:sz="4" w:space="0"/>
              <w:left w:val="nil"/>
              <w:bottom w:val="single" w:color="auto" w:sz="4" w:space="0"/>
              <w:right w:val="single" w:color="auto" w:sz="4" w:space="0"/>
            </w:tcBorders>
          </w:tcPr>
          <w:p w14:paraId="02FAD5DB">
            <w:pPr>
              <w:spacing w:line="480" w:lineRule="exact"/>
              <w:rPr>
                <w:rFonts w:ascii="Times New Roman" w:hAnsi="Times New Roman"/>
                <w:color w:val="auto"/>
                <w:sz w:val="24"/>
                <w:szCs w:val="24"/>
                <w:highlight w:val="none"/>
              </w:rPr>
            </w:pPr>
          </w:p>
        </w:tc>
        <w:tc>
          <w:tcPr>
            <w:tcW w:w="1251" w:type="dxa"/>
            <w:tcBorders>
              <w:top w:val="single" w:color="auto" w:sz="4" w:space="0"/>
              <w:left w:val="nil"/>
              <w:bottom w:val="single" w:color="auto" w:sz="4" w:space="0"/>
              <w:right w:val="single" w:color="auto" w:sz="4" w:space="0"/>
            </w:tcBorders>
          </w:tcPr>
          <w:p w14:paraId="591A5633">
            <w:pPr>
              <w:spacing w:line="480" w:lineRule="exact"/>
              <w:rPr>
                <w:rFonts w:ascii="Times New Roman" w:hAnsi="Times New Roman"/>
                <w:color w:val="auto"/>
                <w:sz w:val="24"/>
                <w:szCs w:val="24"/>
                <w:highlight w:val="none"/>
              </w:rPr>
            </w:pPr>
          </w:p>
        </w:tc>
      </w:tr>
      <w:tr w14:paraId="7C88BEA6">
        <w:tblPrEx>
          <w:tblCellMar>
            <w:top w:w="0" w:type="dxa"/>
            <w:left w:w="108" w:type="dxa"/>
            <w:bottom w:w="0" w:type="dxa"/>
            <w:right w:w="108" w:type="dxa"/>
          </w:tblCellMar>
        </w:tblPrEx>
        <w:trPr>
          <w:jc w:val="center"/>
        </w:trPr>
        <w:tc>
          <w:tcPr>
            <w:tcW w:w="810" w:type="dxa"/>
            <w:tcBorders>
              <w:top w:val="single" w:color="auto" w:sz="4" w:space="0"/>
              <w:left w:val="single" w:color="auto" w:sz="4" w:space="0"/>
              <w:bottom w:val="single" w:color="auto" w:sz="4" w:space="0"/>
              <w:right w:val="single" w:color="auto" w:sz="4" w:space="0"/>
            </w:tcBorders>
          </w:tcPr>
          <w:p w14:paraId="5D2CBAC0">
            <w:pPr>
              <w:spacing w:line="480" w:lineRule="exact"/>
              <w:rPr>
                <w:rFonts w:ascii="Times New Roman" w:hAnsi="Times New Roman"/>
                <w:color w:val="auto"/>
                <w:sz w:val="24"/>
                <w:szCs w:val="24"/>
                <w:highlight w:val="none"/>
              </w:rPr>
            </w:pPr>
          </w:p>
        </w:tc>
        <w:tc>
          <w:tcPr>
            <w:tcW w:w="1281" w:type="dxa"/>
            <w:tcBorders>
              <w:top w:val="single" w:color="auto" w:sz="4" w:space="0"/>
              <w:left w:val="nil"/>
              <w:bottom w:val="single" w:color="auto" w:sz="4" w:space="0"/>
              <w:right w:val="single" w:color="auto" w:sz="4" w:space="0"/>
            </w:tcBorders>
          </w:tcPr>
          <w:p w14:paraId="46B1061A">
            <w:pPr>
              <w:spacing w:line="480" w:lineRule="exact"/>
              <w:rPr>
                <w:rFonts w:ascii="Times New Roman" w:hAnsi="Times New Roman"/>
                <w:color w:val="auto"/>
                <w:sz w:val="24"/>
                <w:szCs w:val="24"/>
                <w:highlight w:val="none"/>
              </w:rPr>
            </w:pPr>
          </w:p>
        </w:tc>
        <w:tc>
          <w:tcPr>
            <w:tcW w:w="2077" w:type="dxa"/>
            <w:tcBorders>
              <w:top w:val="single" w:color="auto" w:sz="4" w:space="0"/>
              <w:left w:val="nil"/>
              <w:bottom w:val="single" w:color="auto" w:sz="4" w:space="0"/>
              <w:right w:val="single" w:color="auto" w:sz="4" w:space="0"/>
            </w:tcBorders>
          </w:tcPr>
          <w:p w14:paraId="2BBD425F">
            <w:pPr>
              <w:spacing w:line="480" w:lineRule="exact"/>
              <w:rPr>
                <w:rFonts w:ascii="Times New Roman" w:hAnsi="Times New Roman"/>
                <w:color w:val="auto"/>
                <w:sz w:val="24"/>
                <w:szCs w:val="24"/>
                <w:highlight w:val="none"/>
              </w:rPr>
            </w:pPr>
          </w:p>
        </w:tc>
        <w:tc>
          <w:tcPr>
            <w:tcW w:w="1890" w:type="dxa"/>
            <w:tcBorders>
              <w:top w:val="single" w:color="auto" w:sz="4" w:space="0"/>
              <w:left w:val="nil"/>
              <w:bottom w:val="single" w:color="auto" w:sz="4" w:space="0"/>
              <w:right w:val="single" w:color="auto" w:sz="4" w:space="0"/>
            </w:tcBorders>
          </w:tcPr>
          <w:p w14:paraId="4AEACD13">
            <w:pPr>
              <w:spacing w:line="480" w:lineRule="exact"/>
              <w:rPr>
                <w:rFonts w:ascii="Times New Roman" w:hAnsi="Times New Roman"/>
                <w:color w:val="auto"/>
                <w:sz w:val="24"/>
                <w:szCs w:val="24"/>
                <w:highlight w:val="none"/>
              </w:rPr>
            </w:pPr>
          </w:p>
        </w:tc>
        <w:tc>
          <w:tcPr>
            <w:tcW w:w="1972" w:type="dxa"/>
            <w:tcBorders>
              <w:top w:val="single" w:color="auto" w:sz="4" w:space="0"/>
              <w:left w:val="nil"/>
              <w:bottom w:val="single" w:color="auto" w:sz="4" w:space="0"/>
              <w:right w:val="single" w:color="auto" w:sz="4" w:space="0"/>
            </w:tcBorders>
          </w:tcPr>
          <w:p w14:paraId="2D0C81C4">
            <w:pPr>
              <w:spacing w:line="480" w:lineRule="exact"/>
              <w:rPr>
                <w:rFonts w:ascii="Times New Roman" w:hAnsi="Times New Roman"/>
                <w:color w:val="auto"/>
                <w:sz w:val="24"/>
                <w:szCs w:val="24"/>
                <w:highlight w:val="none"/>
              </w:rPr>
            </w:pPr>
          </w:p>
        </w:tc>
        <w:tc>
          <w:tcPr>
            <w:tcW w:w="1251" w:type="dxa"/>
            <w:tcBorders>
              <w:top w:val="single" w:color="auto" w:sz="4" w:space="0"/>
              <w:left w:val="nil"/>
              <w:bottom w:val="single" w:color="auto" w:sz="4" w:space="0"/>
              <w:right w:val="single" w:color="auto" w:sz="4" w:space="0"/>
            </w:tcBorders>
          </w:tcPr>
          <w:p w14:paraId="0DADB309">
            <w:pPr>
              <w:spacing w:line="480" w:lineRule="exact"/>
              <w:rPr>
                <w:rFonts w:ascii="Times New Roman" w:hAnsi="Times New Roman"/>
                <w:color w:val="auto"/>
                <w:sz w:val="24"/>
                <w:szCs w:val="24"/>
                <w:highlight w:val="none"/>
              </w:rPr>
            </w:pPr>
          </w:p>
        </w:tc>
      </w:tr>
    </w:tbl>
    <w:p w14:paraId="7CA3BD51">
      <w:pPr>
        <w:autoSpaceDE w:val="0"/>
        <w:autoSpaceDN w:val="0"/>
        <w:adjustRightInd w:val="0"/>
        <w:jc w:val="left"/>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此表格若不够用，可根据实际自行扩展表格。</w:t>
      </w:r>
    </w:p>
    <w:p w14:paraId="06DA64EB">
      <w:pPr>
        <w:spacing w:line="400" w:lineRule="exact"/>
        <w:rPr>
          <w:rFonts w:ascii="Times New Roman" w:hAnsi="Times New Roman"/>
          <w:color w:val="auto"/>
          <w:sz w:val="24"/>
          <w:szCs w:val="24"/>
          <w:highlight w:val="none"/>
        </w:rPr>
      </w:pPr>
      <w:r>
        <w:rPr>
          <w:rFonts w:hint="eastAsia" w:ascii="Times New Roman" w:hAnsi="Times New Roman"/>
          <w:color w:val="auto"/>
          <w:sz w:val="24"/>
          <w:szCs w:val="24"/>
          <w:highlight w:val="none"/>
        </w:rPr>
        <w:t>注：除商务偏差表列出的偏差外，供应商响应招标文件的全部要求。</w:t>
      </w:r>
    </w:p>
    <w:p w14:paraId="7B35D641">
      <w:pPr>
        <w:spacing w:line="460" w:lineRule="exact"/>
        <w:ind w:firstLine="3400" w:firstLineChars="1417"/>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供应商：</w:t>
      </w:r>
      <w:r>
        <w:rPr>
          <w:rFonts w:ascii="Times New Roman" w:hAnsi="Times New Roman"/>
          <w:color w:val="auto"/>
          <w:sz w:val="24"/>
          <w:szCs w:val="24"/>
          <w:highlight w:val="none"/>
          <w:u w:val="single"/>
          <w:shd w:val="clear" w:color="auto" w:fill="FFFFFF"/>
          <w:lang w:bidi="ar"/>
        </w:rPr>
        <w:t xml:space="preserve">                     </w:t>
      </w:r>
      <w:r>
        <w:rPr>
          <w:rFonts w:ascii="Times New Roman" w:hAnsi="Times New Roman"/>
          <w:color w:val="auto"/>
          <w:sz w:val="24"/>
          <w:szCs w:val="24"/>
          <w:highlight w:val="none"/>
          <w:shd w:val="clear" w:color="auto" w:fill="FFFFFF"/>
          <w:lang w:bidi="ar"/>
        </w:rPr>
        <w:t>(</w:t>
      </w:r>
      <w:r>
        <w:rPr>
          <w:rFonts w:hint="eastAsia" w:ascii="Times New Roman" w:hAnsi="Times New Roman"/>
          <w:color w:val="auto"/>
          <w:sz w:val="24"/>
          <w:szCs w:val="24"/>
          <w:highlight w:val="none"/>
          <w:shd w:val="clear" w:color="auto" w:fill="FFFFFF"/>
          <w:lang w:bidi="ar"/>
        </w:rPr>
        <w:t>电子签章</w:t>
      </w:r>
      <w:r>
        <w:rPr>
          <w:rFonts w:ascii="Times New Roman" w:hAnsi="Times New Roman"/>
          <w:color w:val="auto"/>
          <w:sz w:val="24"/>
          <w:szCs w:val="24"/>
          <w:highlight w:val="none"/>
          <w:shd w:val="clear" w:color="auto" w:fill="FFFFFF"/>
          <w:lang w:bidi="ar"/>
        </w:rPr>
        <w:t xml:space="preserve">) </w:t>
      </w:r>
    </w:p>
    <w:p w14:paraId="3E259543">
      <w:pPr>
        <w:spacing w:line="460" w:lineRule="exact"/>
        <w:ind w:firstLine="3400" w:firstLineChars="1417"/>
        <w:rPr>
          <w:rFonts w:ascii="Times New Roman" w:hAnsi="Times New Roman"/>
          <w:color w:val="auto"/>
          <w:sz w:val="24"/>
          <w:szCs w:val="24"/>
          <w:highlight w:val="none"/>
        </w:rPr>
      </w:pPr>
      <w:r>
        <w:rPr>
          <w:rFonts w:hint="eastAsia" w:ascii="Times New Roman" w:hAnsi="Times New Roman"/>
          <w:color w:val="auto"/>
          <w:sz w:val="24"/>
          <w:szCs w:val="24"/>
          <w:highlight w:val="none"/>
          <w:shd w:val="clear" w:color="auto" w:fill="FFFFFF"/>
          <w:lang w:bidi="ar"/>
        </w:rPr>
        <w:t>法定代表人</w:t>
      </w:r>
      <w:r>
        <w:rPr>
          <w:rFonts w:ascii="Times New Roman" w:hAnsi="Times New Roman"/>
          <w:color w:val="auto"/>
          <w:sz w:val="24"/>
          <w:szCs w:val="24"/>
          <w:highlight w:val="none"/>
          <w:shd w:val="clear" w:color="auto" w:fill="FFFFFF"/>
          <w:lang w:bidi="ar"/>
        </w:rPr>
        <w:t xml:space="preserve"> </w:t>
      </w:r>
      <w:r>
        <w:rPr>
          <w:rFonts w:hint="eastAsia" w:ascii="Times New Roman" w:hAnsi="Times New Roman"/>
          <w:color w:val="auto"/>
          <w:sz w:val="24"/>
          <w:szCs w:val="24"/>
          <w:highlight w:val="none"/>
          <w:shd w:val="clear" w:color="auto" w:fill="FFFFFF"/>
          <w:lang w:bidi="ar"/>
        </w:rPr>
        <w:t>：</w:t>
      </w:r>
      <w:r>
        <w:rPr>
          <w:rFonts w:ascii="Times New Roman" w:hAnsi="Times New Roman"/>
          <w:color w:val="auto"/>
          <w:sz w:val="24"/>
          <w:szCs w:val="24"/>
          <w:highlight w:val="none"/>
          <w:u w:val="single"/>
          <w:shd w:val="clear" w:color="auto" w:fill="FFFFFF"/>
          <w:lang w:bidi="ar"/>
        </w:rPr>
        <w:t xml:space="preserve">        </w:t>
      </w:r>
      <w:r>
        <w:rPr>
          <w:rFonts w:ascii="Times New Roman" w:hAnsi="Times New Roman"/>
          <w:color w:val="auto"/>
          <w:sz w:val="24"/>
          <w:szCs w:val="24"/>
          <w:highlight w:val="none"/>
          <w:shd w:val="clear" w:color="auto" w:fill="FFFFFF"/>
          <w:lang w:bidi="ar"/>
        </w:rPr>
        <w:t>(</w:t>
      </w:r>
      <w:r>
        <w:rPr>
          <w:rFonts w:hint="eastAsia" w:ascii="Times New Roman" w:hAnsi="Times New Roman"/>
          <w:color w:val="auto"/>
          <w:sz w:val="24"/>
          <w:szCs w:val="24"/>
          <w:highlight w:val="none"/>
          <w:shd w:val="clear" w:color="auto" w:fill="FFFFFF"/>
          <w:lang w:bidi="ar"/>
        </w:rPr>
        <w:t>法定代表人电子签章</w:t>
      </w:r>
      <w:r>
        <w:rPr>
          <w:rFonts w:ascii="Times New Roman" w:hAnsi="Times New Roman"/>
          <w:color w:val="auto"/>
          <w:sz w:val="24"/>
          <w:szCs w:val="24"/>
          <w:highlight w:val="none"/>
          <w:shd w:val="clear" w:color="auto" w:fill="FFFFFF"/>
          <w:lang w:bidi="ar"/>
        </w:rPr>
        <w:t xml:space="preserve">) </w:t>
      </w:r>
    </w:p>
    <w:p w14:paraId="49CEDA0E">
      <w:pPr>
        <w:spacing w:line="360" w:lineRule="auto"/>
        <w:jc w:val="right"/>
        <w:rPr>
          <w:rFonts w:ascii="Times New Roman" w:hAnsi="Times New Roman"/>
          <w:color w:val="auto"/>
          <w:sz w:val="24"/>
          <w:szCs w:val="24"/>
          <w:highlight w:val="none"/>
        </w:rPr>
      </w:pP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rPr>
        <w:t>日期：</w:t>
      </w: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rPr>
        <w:t>年</w:t>
      </w: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rPr>
        <w:t>月</w:t>
      </w: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rPr>
        <w:t>日</w:t>
      </w:r>
    </w:p>
    <w:p w14:paraId="63D4E6FA">
      <w:pPr>
        <w:spacing w:line="517" w:lineRule="exact"/>
        <w:ind w:left="276" w:hanging="276" w:hangingChars="115"/>
        <w:jc w:val="center"/>
        <w:outlineLvl w:val="1"/>
        <w:rPr>
          <w:rFonts w:ascii="Times New Roman" w:hAnsi="Times New Roman"/>
          <w:b/>
          <w:bCs/>
          <w:color w:val="auto"/>
          <w:sz w:val="24"/>
          <w:szCs w:val="32"/>
          <w:highlight w:val="none"/>
          <w:lang w:val="zh-CN" w:bidi="zh-CN"/>
        </w:rPr>
      </w:pPr>
      <w:r>
        <w:rPr>
          <w:rFonts w:ascii="Times New Roman" w:hAnsi="Times New Roman"/>
          <w:color w:val="auto"/>
          <w:sz w:val="24"/>
          <w:szCs w:val="24"/>
          <w:highlight w:val="none"/>
        </w:rPr>
        <w:br w:type="page"/>
      </w:r>
      <w:bookmarkEnd w:id="498"/>
      <w:bookmarkEnd w:id="499"/>
      <w:bookmarkStart w:id="505" w:name="_Toc176358382"/>
      <w:r>
        <w:rPr>
          <w:rFonts w:hint="eastAsia" w:ascii="Times New Roman" w:hAnsi="Times New Roman"/>
          <w:b/>
          <w:bCs/>
          <w:color w:val="auto"/>
          <w:sz w:val="24"/>
          <w:szCs w:val="32"/>
          <w:highlight w:val="none"/>
          <w:lang w:bidi="zh-CN"/>
        </w:rPr>
        <w:t>七</w:t>
      </w:r>
      <w:r>
        <w:rPr>
          <w:rFonts w:hint="eastAsia" w:ascii="Times New Roman" w:hAnsi="Times New Roman"/>
          <w:b/>
          <w:bCs/>
          <w:color w:val="auto"/>
          <w:sz w:val="24"/>
          <w:szCs w:val="32"/>
          <w:highlight w:val="none"/>
          <w:lang w:val="zh-CN" w:bidi="zh-CN"/>
        </w:rPr>
        <w:t>、</w:t>
      </w:r>
      <w:bookmarkStart w:id="506" w:name="OLE_LINK67"/>
      <w:r>
        <w:rPr>
          <w:rFonts w:hint="eastAsia" w:ascii="Times New Roman" w:hAnsi="Times New Roman"/>
          <w:b/>
          <w:bCs/>
          <w:color w:val="auto"/>
          <w:sz w:val="24"/>
          <w:szCs w:val="32"/>
          <w:highlight w:val="none"/>
          <w:lang w:val="zh-CN" w:bidi="zh-CN"/>
        </w:rPr>
        <w:t>供应商资格证明文件</w:t>
      </w:r>
      <w:bookmarkEnd w:id="505"/>
      <w:bookmarkEnd w:id="506"/>
    </w:p>
    <w:p w14:paraId="73268BC3">
      <w:pPr>
        <w:spacing w:before="53"/>
        <w:jc w:val="center"/>
        <w:outlineLvl w:val="2"/>
        <w:rPr>
          <w:rFonts w:ascii="Times New Roman" w:hAnsi="Times New Roman"/>
          <w:b/>
          <w:bCs/>
          <w:color w:val="auto"/>
          <w:sz w:val="24"/>
          <w:szCs w:val="30"/>
          <w:highlight w:val="none"/>
          <w:lang w:val="zh-CN" w:bidi="zh-CN"/>
        </w:rPr>
      </w:pPr>
      <w:bookmarkStart w:id="507" w:name="_Toc176358383"/>
      <w:bookmarkStart w:id="508" w:name="_Toc151210175"/>
      <w:r>
        <w:rPr>
          <w:rFonts w:hint="eastAsia" w:ascii="Times New Roman" w:hAnsi="Times New Roman"/>
          <w:b/>
          <w:bCs/>
          <w:color w:val="auto"/>
          <w:sz w:val="24"/>
          <w:szCs w:val="30"/>
          <w:highlight w:val="none"/>
          <w:lang w:val="zh-CN" w:bidi="zh-CN"/>
        </w:rPr>
        <w:t>（一）供应商基本情况表</w:t>
      </w:r>
      <w:bookmarkEnd w:id="507"/>
      <w:bookmarkEnd w:id="508"/>
    </w:p>
    <w:tbl>
      <w:tblPr>
        <w:tblStyle w:val="12"/>
        <w:tblpPr w:leftFromText="180" w:rightFromText="180" w:vertAnchor="text" w:horzAnchor="page" w:tblpX="1516" w:tblpY="275"/>
        <w:tblOverlap w:val="never"/>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0"/>
        <w:gridCol w:w="910"/>
        <w:gridCol w:w="1691"/>
        <w:gridCol w:w="1170"/>
        <w:gridCol w:w="2538"/>
      </w:tblGrid>
      <w:tr w14:paraId="4C18B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2050" w:type="dxa"/>
            <w:vAlign w:val="center"/>
          </w:tcPr>
          <w:p w14:paraId="0E534698">
            <w:pPr>
              <w:topLinePunct/>
              <w:spacing w:line="440" w:lineRule="exact"/>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供应商名称</w:t>
            </w:r>
          </w:p>
        </w:tc>
        <w:tc>
          <w:tcPr>
            <w:tcW w:w="6309" w:type="dxa"/>
            <w:gridSpan w:val="4"/>
            <w:vAlign w:val="center"/>
          </w:tcPr>
          <w:p w14:paraId="2FF45509">
            <w:pPr>
              <w:topLinePunct/>
              <w:spacing w:line="440" w:lineRule="exact"/>
              <w:jc w:val="center"/>
              <w:rPr>
                <w:rFonts w:ascii="Times New Roman" w:hAnsi="Times New Roman"/>
                <w:color w:val="auto"/>
                <w:sz w:val="24"/>
                <w:szCs w:val="24"/>
                <w:highlight w:val="none"/>
              </w:rPr>
            </w:pPr>
          </w:p>
        </w:tc>
      </w:tr>
      <w:tr w14:paraId="0EA43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050" w:type="dxa"/>
            <w:vAlign w:val="center"/>
          </w:tcPr>
          <w:p w14:paraId="53215321">
            <w:pPr>
              <w:topLinePunct/>
              <w:spacing w:line="440" w:lineRule="exact"/>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注册地址</w:t>
            </w:r>
          </w:p>
        </w:tc>
        <w:tc>
          <w:tcPr>
            <w:tcW w:w="2601" w:type="dxa"/>
            <w:gridSpan w:val="2"/>
            <w:vAlign w:val="center"/>
          </w:tcPr>
          <w:p w14:paraId="6AF5486C">
            <w:pPr>
              <w:topLinePunct/>
              <w:spacing w:line="440" w:lineRule="exact"/>
              <w:jc w:val="center"/>
              <w:rPr>
                <w:rFonts w:ascii="Times New Roman" w:hAnsi="Times New Roman"/>
                <w:color w:val="auto"/>
                <w:sz w:val="24"/>
                <w:szCs w:val="24"/>
                <w:highlight w:val="none"/>
              </w:rPr>
            </w:pPr>
          </w:p>
        </w:tc>
        <w:tc>
          <w:tcPr>
            <w:tcW w:w="1170" w:type="dxa"/>
            <w:vAlign w:val="center"/>
          </w:tcPr>
          <w:p w14:paraId="4311B7E4">
            <w:pPr>
              <w:topLinePunct/>
              <w:spacing w:line="440" w:lineRule="exact"/>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邮政编码</w:t>
            </w:r>
          </w:p>
        </w:tc>
        <w:tc>
          <w:tcPr>
            <w:tcW w:w="2538" w:type="dxa"/>
            <w:vAlign w:val="center"/>
          </w:tcPr>
          <w:p w14:paraId="1FD98F13">
            <w:pPr>
              <w:topLinePunct/>
              <w:spacing w:line="440" w:lineRule="exact"/>
              <w:jc w:val="center"/>
              <w:rPr>
                <w:rFonts w:ascii="Times New Roman" w:hAnsi="Times New Roman"/>
                <w:color w:val="auto"/>
                <w:sz w:val="24"/>
                <w:szCs w:val="24"/>
                <w:highlight w:val="none"/>
              </w:rPr>
            </w:pPr>
          </w:p>
        </w:tc>
      </w:tr>
      <w:tr w14:paraId="7A774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2050" w:type="dxa"/>
            <w:vMerge w:val="restart"/>
            <w:vAlign w:val="center"/>
          </w:tcPr>
          <w:p w14:paraId="37D2CF83">
            <w:pPr>
              <w:topLinePunct/>
              <w:spacing w:line="440" w:lineRule="exact"/>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联系方式</w:t>
            </w:r>
          </w:p>
        </w:tc>
        <w:tc>
          <w:tcPr>
            <w:tcW w:w="910" w:type="dxa"/>
            <w:vAlign w:val="center"/>
          </w:tcPr>
          <w:p w14:paraId="3DD82AC5">
            <w:pPr>
              <w:topLinePunct/>
              <w:spacing w:line="440" w:lineRule="exact"/>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联系人</w:t>
            </w:r>
          </w:p>
        </w:tc>
        <w:tc>
          <w:tcPr>
            <w:tcW w:w="1691" w:type="dxa"/>
            <w:vAlign w:val="center"/>
          </w:tcPr>
          <w:p w14:paraId="11C49321">
            <w:pPr>
              <w:topLinePunct/>
              <w:spacing w:line="440" w:lineRule="exact"/>
              <w:jc w:val="center"/>
              <w:rPr>
                <w:rFonts w:ascii="Times New Roman" w:hAnsi="Times New Roman"/>
                <w:color w:val="auto"/>
                <w:sz w:val="24"/>
                <w:szCs w:val="24"/>
                <w:highlight w:val="none"/>
              </w:rPr>
            </w:pPr>
          </w:p>
        </w:tc>
        <w:tc>
          <w:tcPr>
            <w:tcW w:w="1170" w:type="dxa"/>
            <w:vAlign w:val="center"/>
          </w:tcPr>
          <w:p w14:paraId="567E3510">
            <w:pPr>
              <w:topLinePunct/>
              <w:spacing w:line="440" w:lineRule="exact"/>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电话</w:t>
            </w:r>
          </w:p>
        </w:tc>
        <w:tc>
          <w:tcPr>
            <w:tcW w:w="2538" w:type="dxa"/>
            <w:vAlign w:val="center"/>
          </w:tcPr>
          <w:p w14:paraId="0082C973">
            <w:pPr>
              <w:topLinePunct/>
              <w:spacing w:line="440" w:lineRule="exact"/>
              <w:jc w:val="center"/>
              <w:rPr>
                <w:rFonts w:ascii="Times New Roman" w:hAnsi="Times New Roman"/>
                <w:color w:val="auto"/>
                <w:sz w:val="24"/>
                <w:szCs w:val="24"/>
                <w:highlight w:val="none"/>
              </w:rPr>
            </w:pPr>
          </w:p>
        </w:tc>
      </w:tr>
      <w:tr w14:paraId="472DC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2050" w:type="dxa"/>
            <w:vMerge w:val="continue"/>
            <w:vAlign w:val="center"/>
          </w:tcPr>
          <w:p w14:paraId="29108AC6">
            <w:pPr>
              <w:topLinePunct/>
              <w:spacing w:line="440" w:lineRule="exact"/>
              <w:jc w:val="center"/>
              <w:rPr>
                <w:rFonts w:ascii="Times New Roman" w:hAnsi="Times New Roman"/>
                <w:color w:val="auto"/>
                <w:sz w:val="24"/>
                <w:szCs w:val="24"/>
                <w:highlight w:val="none"/>
              </w:rPr>
            </w:pPr>
          </w:p>
        </w:tc>
        <w:tc>
          <w:tcPr>
            <w:tcW w:w="910" w:type="dxa"/>
            <w:vAlign w:val="center"/>
          </w:tcPr>
          <w:p w14:paraId="5BE02137">
            <w:pPr>
              <w:topLinePunct/>
              <w:spacing w:line="440" w:lineRule="exact"/>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传真</w:t>
            </w:r>
          </w:p>
        </w:tc>
        <w:tc>
          <w:tcPr>
            <w:tcW w:w="1691" w:type="dxa"/>
            <w:vAlign w:val="center"/>
          </w:tcPr>
          <w:p w14:paraId="607508F3">
            <w:pPr>
              <w:topLinePunct/>
              <w:spacing w:line="440" w:lineRule="exact"/>
              <w:jc w:val="center"/>
              <w:rPr>
                <w:rFonts w:ascii="Times New Roman" w:hAnsi="Times New Roman"/>
                <w:color w:val="auto"/>
                <w:sz w:val="24"/>
                <w:szCs w:val="24"/>
                <w:highlight w:val="none"/>
              </w:rPr>
            </w:pPr>
          </w:p>
        </w:tc>
        <w:tc>
          <w:tcPr>
            <w:tcW w:w="1170" w:type="dxa"/>
            <w:vAlign w:val="center"/>
          </w:tcPr>
          <w:p w14:paraId="2C25114E">
            <w:pPr>
              <w:topLinePunct/>
              <w:spacing w:line="440" w:lineRule="exact"/>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网址</w:t>
            </w:r>
          </w:p>
        </w:tc>
        <w:tc>
          <w:tcPr>
            <w:tcW w:w="2538" w:type="dxa"/>
            <w:vAlign w:val="center"/>
          </w:tcPr>
          <w:p w14:paraId="5C54EC7E">
            <w:pPr>
              <w:topLinePunct/>
              <w:spacing w:line="440" w:lineRule="exact"/>
              <w:jc w:val="center"/>
              <w:rPr>
                <w:rFonts w:ascii="Times New Roman" w:hAnsi="Times New Roman"/>
                <w:color w:val="auto"/>
                <w:sz w:val="24"/>
                <w:szCs w:val="24"/>
                <w:highlight w:val="none"/>
              </w:rPr>
            </w:pPr>
          </w:p>
        </w:tc>
      </w:tr>
      <w:tr w14:paraId="769BC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050" w:type="dxa"/>
            <w:vAlign w:val="center"/>
          </w:tcPr>
          <w:p w14:paraId="4E2F20EE">
            <w:pPr>
              <w:topLinePunct/>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法定代表人</w:t>
            </w:r>
          </w:p>
        </w:tc>
        <w:tc>
          <w:tcPr>
            <w:tcW w:w="910" w:type="dxa"/>
            <w:vAlign w:val="center"/>
          </w:tcPr>
          <w:p w14:paraId="06523F5D">
            <w:pPr>
              <w:topLinePunct/>
              <w:spacing w:line="440" w:lineRule="exact"/>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姓名</w:t>
            </w:r>
          </w:p>
        </w:tc>
        <w:tc>
          <w:tcPr>
            <w:tcW w:w="1691" w:type="dxa"/>
            <w:vAlign w:val="center"/>
          </w:tcPr>
          <w:p w14:paraId="21104ACF">
            <w:pPr>
              <w:topLinePunct/>
              <w:spacing w:line="440" w:lineRule="exact"/>
              <w:jc w:val="center"/>
              <w:rPr>
                <w:rFonts w:ascii="Times New Roman" w:hAnsi="Times New Roman"/>
                <w:color w:val="auto"/>
                <w:sz w:val="24"/>
                <w:szCs w:val="24"/>
                <w:highlight w:val="none"/>
              </w:rPr>
            </w:pPr>
          </w:p>
        </w:tc>
        <w:tc>
          <w:tcPr>
            <w:tcW w:w="1170" w:type="dxa"/>
            <w:vAlign w:val="center"/>
          </w:tcPr>
          <w:p w14:paraId="5BFCD29B">
            <w:pPr>
              <w:topLinePunct/>
              <w:spacing w:line="440" w:lineRule="exact"/>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电话</w:t>
            </w:r>
          </w:p>
        </w:tc>
        <w:tc>
          <w:tcPr>
            <w:tcW w:w="2538" w:type="dxa"/>
            <w:vAlign w:val="center"/>
          </w:tcPr>
          <w:p w14:paraId="3DC6A70C">
            <w:pPr>
              <w:topLinePunct/>
              <w:spacing w:line="440" w:lineRule="exact"/>
              <w:jc w:val="center"/>
              <w:rPr>
                <w:rFonts w:ascii="Times New Roman" w:hAnsi="Times New Roman"/>
                <w:color w:val="auto"/>
                <w:sz w:val="24"/>
                <w:szCs w:val="24"/>
                <w:highlight w:val="none"/>
              </w:rPr>
            </w:pPr>
          </w:p>
        </w:tc>
      </w:tr>
      <w:tr w14:paraId="05002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050" w:type="dxa"/>
            <w:vAlign w:val="center"/>
          </w:tcPr>
          <w:p w14:paraId="564B57DC">
            <w:pPr>
              <w:topLinePunct/>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成立时间</w:t>
            </w:r>
          </w:p>
        </w:tc>
        <w:tc>
          <w:tcPr>
            <w:tcW w:w="2601" w:type="dxa"/>
            <w:gridSpan w:val="2"/>
            <w:vAlign w:val="center"/>
          </w:tcPr>
          <w:p w14:paraId="5D87CB7B">
            <w:pPr>
              <w:topLinePunct/>
              <w:spacing w:line="440" w:lineRule="exact"/>
              <w:jc w:val="center"/>
              <w:rPr>
                <w:rFonts w:ascii="Times New Roman" w:hAnsi="Times New Roman"/>
                <w:color w:val="auto"/>
                <w:sz w:val="24"/>
                <w:szCs w:val="24"/>
                <w:highlight w:val="none"/>
              </w:rPr>
            </w:pPr>
          </w:p>
        </w:tc>
        <w:tc>
          <w:tcPr>
            <w:tcW w:w="1170" w:type="dxa"/>
            <w:vAlign w:val="center"/>
          </w:tcPr>
          <w:p w14:paraId="7264AC09">
            <w:pPr>
              <w:topLinePunct/>
              <w:spacing w:line="440" w:lineRule="exact"/>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员工总人数</w:t>
            </w:r>
          </w:p>
        </w:tc>
        <w:tc>
          <w:tcPr>
            <w:tcW w:w="2538" w:type="dxa"/>
            <w:vAlign w:val="center"/>
          </w:tcPr>
          <w:p w14:paraId="2711A7B5">
            <w:pPr>
              <w:topLinePunct/>
              <w:spacing w:line="440" w:lineRule="exact"/>
              <w:jc w:val="center"/>
              <w:rPr>
                <w:rFonts w:ascii="Times New Roman" w:hAnsi="Times New Roman"/>
                <w:color w:val="auto"/>
                <w:sz w:val="24"/>
                <w:szCs w:val="24"/>
                <w:highlight w:val="none"/>
              </w:rPr>
            </w:pPr>
          </w:p>
        </w:tc>
      </w:tr>
      <w:tr w14:paraId="540BB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2050" w:type="dxa"/>
            <w:vAlign w:val="center"/>
          </w:tcPr>
          <w:p w14:paraId="1E22C89E">
            <w:pPr>
              <w:topLinePunct/>
              <w:spacing w:line="440" w:lineRule="exact"/>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营业执照号</w:t>
            </w:r>
          </w:p>
        </w:tc>
        <w:tc>
          <w:tcPr>
            <w:tcW w:w="6309" w:type="dxa"/>
            <w:gridSpan w:val="4"/>
            <w:vAlign w:val="center"/>
          </w:tcPr>
          <w:p w14:paraId="5ACA7902">
            <w:pPr>
              <w:topLinePunct/>
              <w:spacing w:line="440" w:lineRule="exact"/>
              <w:jc w:val="center"/>
              <w:rPr>
                <w:rFonts w:ascii="Times New Roman" w:hAnsi="Times New Roman"/>
                <w:color w:val="auto"/>
                <w:sz w:val="24"/>
                <w:szCs w:val="24"/>
                <w:highlight w:val="none"/>
              </w:rPr>
            </w:pPr>
          </w:p>
        </w:tc>
      </w:tr>
      <w:tr w14:paraId="38B3F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2050" w:type="dxa"/>
            <w:vAlign w:val="center"/>
          </w:tcPr>
          <w:p w14:paraId="001152CE">
            <w:pPr>
              <w:topLinePunct/>
              <w:spacing w:line="440" w:lineRule="exact"/>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注册资金</w:t>
            </w:r>
          </w:p>
        </w:tc>
        <w:tc>
          <w:tcPr>
            <w:tcW w:w="6309" w:type="dxa"/>
            <w:gridSpan w:val="4"/>
            <w:vAlign w:val="center"/>
          </w:tcPr>
          <w:p w14:paraId="305CD708">
            <w:pPr>
              <w:topLinePunct/>
              <w:spacing w:line="440" w:lineRule="exact"/>
              <w:jc w:val="center"/>
              <w:rPr>
                <w:rFonts w:ascii="Times New Roman" w:hAnsi="Times New Roman"/>
                <w:color w:val="auto"/>
                <w:sz w:val="24"/>
                <w:szCs w:val="24"/>
                <w:highlight w:val="none"/>
              </w:rPr>
            </w:pPr>
          </w:p>
        </w:tc>
      </w:tr>
      <w:tr w14:paraId="122A4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trPr>
        <w:tc>
          <w:tcPr>
            <w:tcW w:w="2050" w:type="dxa"/>
            <w:vAlign w:val="center"/>
          </w:tcPr>
          <w:p w14:paraId="09A0ACEA">
            <w:pPr>
              <w:topLinePunct/>
              <w:spacing w:line="440" w:lineRule="exact"/>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开户银行</w:t>
            </w:r>
          </w:p>
        </w:tc>
        <w:tc>
          <w:tcPr>
            <w:tcW w:w="6309" w:type="dxa"/>
            <w:gridSpan w:val="4"/>
            <w:vAlign w:val="center"/>
          </w:tcPr>
          <w:p w14:paraId="706EFE10">
            <w:pPr>
              <w:topLinePunct/>
              <w:spacing w:line="440" w:lineRule="exact"/>
              <w:jc w:val="center"/>
              <w:rPr>
                <w:rFonts w:ascii="Times New Roman" w:hAnsi="Times New Roman"/>
                <w:color w:val="auto"/>
                <w:sz w:val="24"/>
                <w:szCs w:val="24"/>
                <w:highlight w:val="none"/>
              </w:rPr>
            </w:pPr>
          </w:p>
        </w:tc>
      </w:tr>
      <w:tr w14:paraId="25FBA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2050" w:type="dxa"/>
            <w:vAlign w:val="center"/>
          </w:tcPr>
          <w:p w14:paraId="10939CA6">
            <w:pPr>
              <w:topLinePunct/>
              <w:spacing w:line="440" w:lineRule="exact"/>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账号</w:t>
            </w:r>
          </w:p>
        </w:tc>
        <w:tc>
          <w:tcPr>
            <w:tcW w:w="6309" w:type="dxa"/>
            <w:gridSpan w:val="4"/>
            <w:vAlign w:val="center"/>
          </w:tcPr>
          <w:p w14:paraId="1ADFCDBD">
            <w:pPr>
              <w:topLinePunct/>
              <w:spacing w:line="440" w:lineRule="exact"/>
              <w:jc w:val="center"/>
              <w:rPr>
                <w:rFonts w:ascii="Times New Roman" w:hAnsi="Times New Roman"/>
                <w:color w:val="auto"/>
                <w:sz w:val="24"/>
                <w:szCs w:val="24"/>
                <w:highlight w:val="none"/>
              </w:rPr>
            </w:pPr>
          </w:p>
        </w:tc>
      </w:tr>
      <w:tr w14:paraId="03119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2050" w:type="dxa"/>
            <w:vAlign w:val="center"/>
          </w:tcPr>
          <w:p w14:paraId="2910F4E1">
            <w:pPr>
              <w:topLinePunct/>
              <w:spacing w:line="440" w:lineRule="exact"/>
              <w:ind w:firstLine="240" w:firstLineChars="100"/>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经营范围</w:t>
            </w:r>
          </w:p>
        </w:tc>
        <w:tc>
          <w:tcPr>
            <w:tcW w:w="6309" w:type="dxa"/>
            <w:gridSpan w:val="4"/>
            <w:vAlign w:val="center"/>
          </w:tcPr>
          <w:p w14:paraId="39E6440C">
            <w:pPr>
              <w:topLinePunct/>
              <w:spacing w:line="440" w:lineRule="exact"/>
              <w:jc w:val="left"/>
              <w:rPr>
                <w:rFonts w:ascii="Times New Roman" w:hAnsi="Times New Roman"/>
                <w:color w:val="auto"/>
                <w:sz w:val="24"/>
                <w:szCs w:val="24"/>
                <w:highlight w:val="none"/>
              </w:rPr>
            </w:pPr>
          </w:p>
        </w:tc>
      </w:tr>
      <w:tr w14:paraId="14995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050" w:type="dxa"/>
            <w:vAlign w:val="center"/>
          </w:tcPr>
          <w:p w14:paraId="5264A050">
            <w:pPr>
              <w:topLinePunct/>
              <w:spacing w:line="440" w:lineRule="exact"/>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备注</w:t>
            </w:r>
          </w:p>
        </w:tc>
        <w:tc>
          <w:tcPr>
            <w:tcW w:w="6309" w:type="dxa"/>
            <w:gridSpan w:val="4"/>
            <w:vAlign w:val="center"/>
          </w:tcPr>
          <w:p w14:paraId="35662929">
            <w:pPr>
              <w:topLinePunct/>
              <w:spacing w:line="440" w:lineRule="exact"/>
              <w:jc w:val="center"/>
              <w:rPr>
                <w:rFonts w:ascii="Times New Roman" w:hAnsi="Times New Roman"/>
                <w:color w:val="auto"/>
                <w:sz w:val="24"/>
                <w:szCs w:val="24"/>
                <w:highlight w:val="none"/>
              </w:rPr>
            </w:pPr>
          </w:p>
        </w:tc>
      </w:tr>
    </w:tbl>
    <w:p w14:paraId="478AC553">
      <w:pPr>
        <w:spacing w:line="276" w:lineRule="auto"/>
        <w:rPr>
          <w:rFonts w:ascii="Times New Roman" w:hAnsi="Times New Roman"/>
          <w:color w:val="auto"/>
          <w:szCs w:val="21"/>
          <w:highlight w:val="none"/>
          <w:shd w:val="clear" w:color="auto" w:fill="FFFFFF"/>
          <w:lang w:bidi="ar"/>
        </w:rPr>
      </w:pPr>
      <w:r>
        <w:rPr>
          <w:rFonts w:hint="eastAsia" w:ascii="Times New Roman" w:hAnsi="Times New Roman"/>
          <w:color w:val="auto"/>
          <w:szCs w:val="21"/>
          <w:highlight w:val="none"/>
          <w:shd w:val="clear" w:color="auto" w:fill="FFFFFF"/>
          <w:lang w:bidi="ar"/>
        </w:rPr>
        <w:t>注：</w:t>
      </w:r>
      <w:r>
        <w:rPr>
          <w:rFonts w:ascii="Times New Roman" w:hAnsi="Times New Roman"/>
          <w:color w:val="auto"/>
          <w:szCs w:val="21"/>
          <w:highlight w:val="none"/>
          <w:shd w:val="clear" w:color="auto" w:fill="FFFFFF"/>
          <w:lang w:bidi="ar"/>
        </w:rPr>
        <w:t>1.</w:t>
      </w:r>
      <w:r>
        <w:rPr>
          <w:rFonts w:hint="eastAsia" w:ascii="Times New Roman" w:hAnsi="Times New Roman"/>
          <w:color w:val="auto"/>
          <w:szCs w:val="21"/>
          <w:highlight w:val="none"/>
          <w:shd w:val="clear" w:color="auto" w:fill="FFFFFF"/>
          <w:lang w:bidi="ar"/>
        </w:rPr>
        <w:t>后附</w:t>
      </w:r>
      <w:bookmarkStart w:id="509" w:name="OLE_LINK28"/>
      <w:bookmarkStart w:id="510" w:name="OLE_LINK29"/>
      <w:r>
        <w:rPr>
          <w:rFonts w:hint="eastAsia" w:ascii="Times New Roman" w:hAnsi="Times New Roman"/>
          <w:color w:val="auto"/>
          <w:szCs w:val="21"/>
          <w:highlight w:val="none"/>
          <w:shd w:val="clear" w:color="auto" w:fill="FFFFFF"/>
          <w:lang w:bidi="ar"/>
        </w:rPr>
        <w:t>营业执照副本</w:t>
      </w:r>
      <w:bookmarkEnd w:id="509"/>
      <w:bookmarkEnd w:id="510"/>
      <w:r>
        <w:rPr>
          <w:rFonts w:hint="eastAsia" w:ascii="Times New Roman" w:hAnsi="Times New Roman"/>
          <w:color w:val="auto"/>
          <w:szCs w:val="21"/>
          <w:highlight w:val="none"/>
          <w:shd w:val="clear" w:color="auto" w:fill="FFFFFF"/>
          <w:lang w:bidi="ar"/>
        </w:rPr>
        <w:t>等相关资料扫描件。</w:t>
      </w:r>
    </w:p>
    <w:p w14:paraId="51E80B91">
      <w:pPr>
        <w:spacing w:line="276" w:lineRule="auto"/>
        <w:ind w:firstLine="422" w:firstLineChars="200"/>
        <w:jc w:val="left"/>
        <w:rPr>
          <w:rFonts w:ascii="Times New Roman" w:hAnsi="Times New Roman"/>
          <w:b/>
          <w:color w:val="auto"/>
          <w:szCs w:val="21"/>
          <w:highlight w:val="none"/>
          <w:shd w:val="clear" w:color="auto" w:fill="FFFFFF"/>
          <w:lang w:bidi="ar"/>
        </w:rPr>
      </w:pPr>
    </w:p>
    <w:p w14:paraId="5BC6B097">
      <w:pPr>
        <w:spacing w:line="276" w:lineRule="auto"/>
        <w:ind w:firstLine="422" w:firstLineChars="200"/>
        <w:jc w:val="left"/>
        <w:rPr>
          <w:rFonts w:ascii="Times New Roman" w:hAnsi="Times New Roman"/>
          <w:b/>
          <w:color w:val="auto"/>
          <w:szCs w:val="21"/>
          <w:highlight w:val="none"/>
          <w:shd w:val="clear" w:color="auto" w:fill="FFFFFF"/>
          <w:lang w:bidi="ar"/>
        </w:rPr>
      </w:pPr>
    </w:p>
    <w:p w14:paraId="01E42162">
      <w:pPr>
        <w:spacing w:line="460" w:lineRule="exact"/>
        <w:ind w:firstLine="3400" w:firstLineChars="1417"/>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供应商：</w:t>
      </w:r>
      <w:r>
        <w:rPr>
          <w:rFonts w:ascii="Times New Roman" w:hAnsi="Times New Roman"/>
          <w:color w:val="auto"/>
          <w:sz w:val="24"/>
          <w:szCs w:val="24"/>
          <w:highlight w:val="none"/>
          <w:u w:val="single"/>
          <w:shd w:val="clear" w:color="auto" w:fill="FFFFFF"/>
          <w:lang w:bidi="ar"/>
        </w:rPr>
        <w:t xml:space="preserve">                     </w:t>
      </w:r>
      <w:r>
        <w:rPr>
          <w:rFonts w:ascii="Times New Roman" w:hAnsi="Times New Roman"/>
          <w:color w:val="auto"/>
          <w:sz w:val="24"/>
          <w:szCs w:val="24"/>
          <w:highlight w:val="none"/>
          <w:shd w:val="clear" w:color="auto" w:fill="FFFFFF"/>
          <w:lang w:bidi="ar"/>
        </w:rPr>
        <w:t>(</w:t>
      </w:r>
      <w:r>
        <w:rPr>
          <w:rFonts w:hint="eastAsia" w:ascii="Times New Roman" w:hAnsi="Times New Roman"/>
          <w:color w:val="auto"/>
          <w:sz w:val="24"/>
          <w:szCs w:val="24"/>
          <w:highlight w:val="none"/>
          <w:shd w:val="clear" w:color="auto" w:fill="FFFFFF"/>
          <w:lang w:bidi="ar"/>
        </w:rPr>
        <w:t>电子签章</w:t>
      </w:r>
      <w:r>
        <w:rPr>
          <w:rFonts w:ascii="Times New Roman" w:hAnsi="Times New Roman"/>
          <w:color w:val="auto"/>
          <w:sz w:val="24"/>
          <w:szCs w:val="24"/>
          <w:highlight w:val="none"/>
          <w:shd w:val="clear" w:color="auto" w:fill="FFFFFF"/>
          <w:lang w:bidi="ar"/>
        </w:rPr>
        <w:t xml:space="preserve">) </w:t>
      </w:r>
    </w:p>
    <w:p w14:paraId="2301C152">
      <w:pPr>
        <w:spacing w:line="460" w:lineRule="exact"/>
        <w:ind w:firstLine="3400" w:firstLineChars="1417"/>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法定代表人</w:t>
      </w:r>
      <w:r>
        <w:rPr>
          <w:rFonts w:ascii="Times New Roman" w:hAnsi="Times New Roman"/>
          <w:color w:val="auto"/>
          <w:sz w:val="24"/>
          <w:szCs w:val="24"/>
          <w:highlight w:val="none"/>
          <w:shd w:val="clear" w:color="auto" w:fill="FFFFFF"/>
          <w:lang w:bidi="ar"/>
        </w:rPr>
        <w:t xml:space="preserve"> </w:t>
      </w:r>
      <w:r>
        <w:rPr>
          <w:rFonts w:hint="eastAsia" w:ascii="Times New Roman" w:hAnsi="Times New Roman"/>
          <w:color w:val="auto"/>
          <w:sz w:val="24"/>
          <w:szCs w:val="24"/>
          <w:highlight w:val="none"/>
          <w:shd w:val="clear" w:color="auto" w:fill="FFFFFF"/>
          <w:lang w:bidi="ar"/>
        </w:rPr>
        <w:t>：</w:t>
      </w:r>
      <w:r>
        <w:rPr>
          <w:rFonts w:ascii="Times New Roman" w:hAnsi="Times New Roman"/>
          <w:color w:val="auto"/>
          <w:sz w:val="24"/>
          <w:szCs w:val="24"/>
          <w:highlight w:val="none"/>
          <w:u w:val="single"/>
          <w:shd w:val="clear" w:color="auto" w:fill="FFFFFF"/>
          <w:lang w:bidi="ar"/>
        </w:rPr>
        <w:t xml:space="preserve">        </w:t>
      </w:r>
      <w:r>
        <w:rPr>
          <w:rFonts w:ascii="Times New Roman" w:hAnsi="Times New Roman"/>
          <w:color w:val="auto"/>
          <w:sz w:val="24"/>
          <w:szCs w:val="24"/>
          <w:highlight w:val="none"/>
          <w:shd w:val="clear" w:color="auto" w:fill="FFFFFF"/>
          <w:lang w:bidi="ar"/>
        </w:rPr>
        <w:t>(</w:t>
      </w:r>
      <w:r>
        <w:rPr>
          <w:rFonts w:hint="eastAsia" w:ascii="Times New Roman" w:hAnsi="Times New Roman"/>
          <w:color w:val="auto"/>
          <w:sz w:val="24"/>
          <w:szCs w:val="24"/>
          <w:highlight w:val="none"/>
          <w:shd w:val="clear" w:color="auto" w:fill="FFFFFF"/>
          <w:lang w:bidi="ar"/>
        </w:rPr>
        <w:t>法定代表人电子签章</w:t>
      </w:r>
      <w:r>
        <w:rPr>
          <w:rFonts w:ascii="Times New Roman" w:hAnsi="Times New Roman"/>
          <w:color w:val="auto"/>
          <w:sz w:val="24"/>
          <w:szCs w:val="24"/>
          <w:highlight w:val="none"/>
          <w:shd w:val="clear" w:color="auto" w:fill="FFFFFF"/>
          <w:lang w:bidi="ar"/>
        </w:rPr>
        <w:t xml:space="preserve">) </w:t>
      </w:r>
    </w:p>
    <w:p w14:paraId="6E07FFB6">
      <w:pPr>
        <w:spacing w:line="460" w:lineRule="exact"/>
        <w:ind w:firstLine="4080" w:firstLineChars="1700"/>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日</w:t>
      </w:r>
      <w:r>
        <w:rPr>
          <w:rFonts w:ascii="Times New Roman" w:hAnsi="Times New Roman"/>
          <w:color w:val="auto"/>
          <w:sz w:val="24"/>
          <w:szCs w:val="24"/>
          <w:highlight w:val="none"/>
          <w:shd w:val="clear" w:color="auto" w:fill="FFFFFF"/>
          <w:lang w:bidi="ar"/>
        </w:rPr>
        <w:t xml:space="preserve">       </w:t>
      </w:r>
      <w:r>
        <w:rPr>
          <w:rFonts w:hint="eastAsia" w:ascii="Times New Roman" w:hAnsi="Times New Roman"/>
          <w:color w:val="auto"/>
          <w:sz w:val="24"/>
          <w:szCs w:val="24"/>
          <w:highlight w:val="none"/>
          <w:shd w:val="clear" w:color="auto" w:fill="FFFFFF"/>
          <w:lang w:bidi="ar"/>
        </w:rPr>
        <w:t>期：</w:t>
      </w:r>
      <w:r>
        <w:rPr>
          <w:rFonts w:ascii="Times New Roman" w:hAnsi="Times New Roman"/>
          <w:color w:val="auto"/>
          <w:sz w:val="24"/>
          <w:szCs w:val="24"/>
          <w:highlight w:val="none"/>
          <w:u w:val="single"/>
          <w:shd w:val="clear" w:color="auto" w:fill="FFFFFF"/>
          <w:lang w:bidi="ar"/>
        </w:rPr>
        <w:t xml:space="preserve">         </w:t>
      </w:r>
      <w:r>
        <w:rPr>
          <w:rFonts w:hint="eastAsia" w:ascii="Times New Roman" w:hAnsi="Times New Roman"/>
          <w:color w:val="auto"/>
          <w:sz w:val="24"/>
          <w:szCs w:val="24"/>
          <w:highlight w:val="none"/>
          <w:shd w:val="clear" w:color="auto" w:fill="FFFFFF"/>
          <w:lang w:bidi="ar"/>
        </w:rPr>
        <w:t>年</w:t>
      </w:r>
      <w:r>
        <w:rPr>
          <w:rFonts w:ascii="Times New Roman" w:hAnsi="Times New Roman"/>
          <w:color w:val="auto"/>
          <w:sz w:val="24"/>
          <w:szCs w:val="24"/>
          <w:highlight w:val="none"/>
          <w:shd w:val="clear" w:color="auto" w:fill="FFFFFF"/>
          <w:lang w:bidi="ar"/>
        </w:rPr>
        <w:t xml:space="preserve"> </w:t>
      </w:r>
      <w:r>
        <w:rPr>
          <w:rFonts w:ascii="Times New Roman" w:hAnsi="Times New Roman"/>
          <w:color w:val="auto"/>
          <w:sz w:val="24"/>
          <w:szCs w:val="24"/>
          <w:highlight w:val="none"/>
          <w:u w:val="single"/>
          <w:shd w:val="clear" w:color="auto" w:fill="FFFFFF"/>
          <w:lang w:bidi="ar"/>
        </w:rPr>
        <w:t xml:space="preserve">    </w:t>
      </w:r>
      <w:r>
        <w:rPr>
          <w:rFonts w:hint="eastAsia" w:ascii="Times New Roman" w:hAnsi="Times New Roman"/>
          <w:color w:val="auto"/>
          <w:sz w:val="24"/>
          <w:szCs w:val="24"/>
          <w:highlight w:val="none"/>
          <w:shd w:val="clear" w:color="auto" w:fill="FFFFFF"/>
          <w:lang w:bidi="ar"/>
        </w:rPr>
        <w:t>月</w:t>
      </w:r>
      <w:r>
        <w:rPr>
          <w:rFonts w:ascii="Times New Roman" w:hAnsi="Times New Roman"/>
          <w:color w:val="auto"/>
          <w:sz w:val="24"/>
          <w:szCs w:val="24"/>
          <w:highlight w:val="none"/>
          <w:u w:val="single"/>
          <w:shd w:val="clear" w:color="auto" w:fill="FFFFFF"/>
          <w:lang w:bidi="ar"/>
        </w:rPr>
        <w:t xml:space="preserve">    </w:t>
      </w:r>
      <w:r>
        <w:rPr>
          <w:rFonts w:hint="eastAsia" w:ascii="Times New Roman" w:hAnsi="Times New Roman"/>
          <w:color w:val="auto"/>
          <w:sz w:val="24"/>
          <w:szCs w:val="24"/>
          <w:highlight w:val="none"/>
          <w:shd w:val="clear" w:color="auto" w:fill="FFFFFF"/>
          <w:lang w:bidi="ar"/>
        </w:rPr>
        <w:t>日</w:t>
      </w:r>
    </w:p>
    <w:p w14:paraId="61F2CDA3">
      <w:pPr>
        <w:spacing w:before="53" w:line="360" w:lineRule="auto"/>
        <w:jc w:val="center"/>
        <w:outlineLvl w:val="2"/>
        <w:rPr>
          <w:rFonts w:ascii="Times New Roman" w:hAnsi="Times New Roman"/>
          <w:b/>
          <w:bCs/>
          <w:color w:val="auto"/>
          <w:sz w:val="24"/>
          <w:szCs w:val="30"/>
          <w:highlight w:val="none"/>
          <w:lang w:val="zh-CN" w:bidi="zh-CN"/>
        </w:rPr>
      </w:pPr>
      <w:bookmarkStart w:id="511" w:name="_Toc96965862"/>
      <w:bookmarkStart w:id="512" w:name="_Toc151210176"/>
      <w:bookmarkStart w:id="513" w:name="_Toc176358384"/>
      <w:r>
        <w:rPr>
          <w:rFonts w:ascii="Times New Roman" w:hAnsi="Times New Roman"/>
          <w:b/>
          <w:bCs/>
          <w:color w:val="auto"/>
          <w:sz w:val="24"/>
          <w:szCs w:val="30"/>
          <w:highlight w:val="none"/>
          <w:lang w:val="zh-CN" w:bidi="zh-CN"/>
        </w:rPr>
        <w:br w:type="page"/>
      </w:r>
      <w:r>
        <w:rPr>
          <w:rFonts w:hint="eastAsia" w:ascii="Times New Roman" w:hAnsi="Times New Roman"/>
          <w:b/>
          <w:bCs/>
          <w:color w:val="auto"/>
          <w:sz w:val="24"/>
          <w:szCs w:val="30"/>
          <w:highlight w:val="none"/>
          <w:lang w:val="zh-CN" w:bidi="zh-CN"/>
        </w:rPr>
        <w:t>（二）近年财务状况表</w:t>
      </w:r>
      <w:bookmarkEnd w:id="511"/>
      <w:bookmarkEnd w:id="512"/>
      <w:bookmarkEnd w:id="513"/>
    </w:p>
    <w:p w14:paraId="12B50C4B">
      <w:pPr>
        <w:spacing w:line="360" w:lineRule="auto"/>
        <w:ind w:firstLine="566" w:firstLineChars="236"/>
        <w:rPr>
          <w:rFonts w:ascii="Times New Roman" w:hAnsi="Times New Roman"/>
          <w:color w:val="auto"/>
          <w:sz w:val="24"/>
          <w:szCs w:val="24"/>
          <w:highlight w:val="none"/>
        </w:rPr>
      </w:pPr>
      <w:r>
        <w:rPr>
          <w:rFonts w:hint="eastAsia" w:ascii="Times New Roman" w:hAnsi="Times New Roman"/>
          <w:color w:val="auto"/>
          <w:sz w:val="24"/>
          <w:szCs w:val="24"/>
          <w:highlight w:val="none"/>
        </w:rPr>
        <w:t>“近年财务状况表”应提供2024年经审计的财务状况报告（成立时间不足一年的，可提供成立时间至当前时间节点的财务状况报告）。</w:t>
      </w:r>
    </w:p>
    <w:p w14:paraId="375CC9F8">
      <w:pPr>
        <w:spacing w:before="53" w:line="360" w:lineRule="auto"/>
        <w:jc w:val="center"/>
        <w:outlineLvl w:val="2"/>
        <w:rPr>
          <w:rFonts w:ascii="Times New Roman" w:hAnsi="Times New Roman"/>
          <w:b/>
          <w:bCs/>
          <w:color w:val="auto"/>
          <w:sz w:val="24"/>
          <w:szCs w:val="30"/>
          <w:highlight w:val="none"/>
          <w:lang w:val="zh-CN" w:bidi="zh-CN"/>
        </w:rPr>
      </w:pPr>
      <w:bookmarkStart w:id="514" w:name="_Toc176358385"/>
      <w:bookmarkStart w:id="515" w:name="_Toc96965863"/>
      <w:bookmarkStart w:id="516" w:name="_Toc151210177"/>
      <w:bookmarkStart w:id="517" w:name="_Toc94092133"/>
      <w:r>
        <w:rPr>
          <w:rFonts w:ascii="Times New Roman" w:hAnsi="Times New Roman"/>
          <w:b/>
          <w:bCs/>
          <w:color w:val="auto"/>
          <w:sz w:val="24"/>
          <w:szCs w:val="30"/>
          <w:highlight w:val="none"/>
          <w:lang w:val="zh-CN" w:bidi="zh-CN"/>
        </w:rPr>
        <w:br w:type="page"/>
      </w:r>
      <w:r>
        <w:rPr>
          <w:rFonts w:hint="eastAsia" w:ascii="Times New Roman" w:hAnsi="Times New Roman"/>
          <w:b/>
          <w:bCs/>
          <w:color w:val="auto"/>
          <w:sz w:val="24"/>
          <w:szCs w:val="30"/>
          <w:highlight w:val="none"/>
          <w:lang w:val="zh-CN" w:bidi="zh-CN"/>
        </w:rPr>
        <w:t>（三）近年发生的诉讼及仲裁情况</w:t>
      </w:r>
      <w:bookmarkEnd w:id="514"/>
      <w:bookmarkEnd w:id="515"/>
      <w:bookmarkEnd w:id="516"/>
      <w:bookmarkEnd w:id="517"/>
    </w:p>
    <w:p w14:paraId="604CBC3F">
      <w:pPr>
        <w:autoSpaceDE w:val="0"/>
        <w:autoSpaceDN w:val="0"/>
        <w:adjustRightInd w:val="0"/>
        <w:jc w:val="left"/>
        <w:rPr>
          <w:rFonts w:ascii="Times New Roman" w:hAnsi="Times New Roman"/>
          <w:color w:val="auto"/>
          <w:kern w:val="0"/>
          <w:sz w:val="24"/>
          <w:szCs w:val="24"/>
          <w:highlight w:val="none"/>
        </w:rPr>
      </w:pPr>
    </w:p>
    <w:p w14:paraId="5A4588D3">
      <w:pPr>
        <w:autoSpaceDE w:val="0"/>
        <w:autoSpaceDN w:val="0"/>
        <w:adjustRightInd w:val="0"/>
        <w:spacing w:line="450" w:lineRule="exact"/>
        <w:ind w:firstLine="480" w:firstLineChars="20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注：</w:t>
      </w:r>
      <w:r>
        <w:rPr>
          <w:rFonts w:ascii="Times New Roman" w:hAnsi="Times New Roman"/>
          <w:color w:val="auto"/>
          <w:sz w:val="24"/>
          <w:szCs w:val="24"/>
          <w:highlight w:val="none"/>
        </w:rPr>
        <w:t>1</w:t>
      </w:r>
      <w:r>
        <w:rPr>
          <w:rFonts w:hint="eastAsia" w:ascii="Times New Roman" w:hAnsi="Times New Roman"/>
          <w:color w:val="auto"/>
          <w:sz w:val="24"/>
          <w:szCs w:val="24"/>
          <w:highlight w:val="none"/>
        </w:rPr>
        <w:t>、“近年发生的诉讼及仲裁情况”应说明供应商败诉的设备买卖合同的相关情况，并附法院或仲裁机构作出的判决、裁决等有关法律文书扫描件，具体时间要求详见供应商须知。</w:t>
      </w:r>
      <w:r>
        <w:rPr>
          <w:rFonts w:ascii="Times New Roman" w:hAnsi="Times New Roman"/>
          <w:color w:val="auto"/>
          <w:sz w:val="24"/>
          <w:szCs w:val="24"/>
          <w:highlight w:val="none"/>
        </w:rPr>
        <w:t xml:space="preserve"> </w:t>
      </w:r>
    </w:p>
    <w:p w14:paraId="26456D8A">
      <w:pPr>
        <w:autoSpaceDE w:val="0"/>
        <w:autoSpaceDN w:val="0"/>
        <w:adjustRightInd w:val="0"/>
        <w:spacing w:line="450" w:lineRule="exact"/>
        <w:ind w:firstLine="960" w:firstLineChars="400"/>
        <w:jc w:val="left"/>
        <w:rPr>
          <w:rFonts w:ascii="Times New Roman" w:hAnsi="Times New Roman"/>
          <w:color w:val="auto"/>
          <w:sz w:val="24"/>
          <w:szCs w:val="24"/>
          <w:highlight w:val="none"/>
        </w:rPr>
      </w:pPr>
      <w:r>
        <w:rPr>
          <w:rFonts w:ascii="Times New Roman" w:hAnsi="Times New Roman"/>
          <w:color w:val="auto"/>
          <w:sz w:val="24"/>
          <w:szCs w:val="24"/>
          <w:highlight w:val="none"/>
        </w:rPr>
        <w:t>2</w:t>
      </w:r>
      <w:r>
        <w:rPr>
          <w:rFonts w:hint="eastAsia" w:ascii="Times New Roman" w:hAnsi="Times New Roman"/>
          <w:color w:val="auto"/>
          <w:sz w:val="24"/>
          <w:szCs w:val="24"/>
          <w:highlight w:val="none"/>
        </w:rPr>
        <w:t>、若无诉讼及仲裁情况供应商自行承诺，格式自拟。</w:t>
      </w:r>
    </w:p>
    <w:p w14:paraId="17A985A9">
      <w:pPr>
        <w:spacing w:line="360" w:lineRule="auto"/>
        <w:rPr>
          <w:rFonts w:ascii="Times New Roman" w:hAnsi="Times New Roman"/>
          <w:color w:val="auto"/>
          <w:sz w:val="24"/>
          <w:szCs w:val="24"/>
          <w:highlight w:val="none"/>
        </w:rPr>
      </w:pPr>
    </w:p>
    <w:p w14:paraId="7D49B102">
      <w:pPr>
        <w:numPr>
          <w:ilvl w:val="0"/>
          <w:numId w:val="2"/>
        </w:numPr>
        <w:spacing w:before="53" w:line="360" w:lineRule="auto"/>
        <w:jc w:val="center"/>
        <w:outlineLvl w:val="2"/>
        <w:rPr>
          <w:rFonts w:ascii="Times New Roman" w:hAnsi="Times New Roman"/>
          <w:b/>
          <w:bCs/>
          <w:color w:val="auto"/>
          <w:sz w:val="24"/>
          <w:szCs w:val="30"/>
          <w:highlight w:val="none"/>
          <w:lang w:val="zh-CN" w:bidi="zh-CN"/>
        </w:rPr>
      </w:pPr>
      <w:r>
        <w:rPr>
          <w:rFonts w:ascii="Times New Roman" w:hAnsi="Times New Roman"/>
          <w:b/>
          <w:bCs/>
          <w:color w:val="auto"/>
          <w:sz w:val="24"/>
          <w:szCs w:val="30"/>
          <w:highlight w:val="none"/>
          <w:lang w:val="zh-CN" w:bidi="zh-CN"/>
        </w:rPr>
        <w:br w:type="page"/>
      </w:r>
      <w:bookmarkStart w:id="518" w:name="_Toc176358386"/>
      <w:bookmarkStart w:id="519" w:name="_Toc96965864"/>
      <w:bookmarkStart w:id="520" w:name="_Toc94092131"/>
      <w:bookmarkStart w:id="521" w:name="_Toc151210178"/>
      <w:r>
        <w:rPr>
          <w:rFonts w:hint="eastAsia" w:ascii="Times New Roman" w:hAnsi="Times New Roman"/>
          <w:b/>
          <w:bCs/>
          <w:color w:val="auto"/>
          <w:sz w:val="24"/>
          <w:szCs w:val="30"/>
          <w:highlight w:val="none"/>
          <w:lang w:val="zh-CN" w:bidi="zh-CN"/>
        </w:rPr>
        <w:t>近年完成的类似项目情况表</w:t>
      </w:r>
      <w:bookmarkEnd w:id="518"/>
      <w:bookmarkEnd w:id="519"/>
      <w:bookmarkEnd w:id="520"/>
      <w:bookmarkEnd w:id="521"/>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0"/>
        <w:gridCol w:w="6319"/>
      </w:tblGrid>
      <w:tr w14:paraId="6DEFD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vAlign w:val="center"/>
          </w:tcPr>
          <w:p w14:paraId="1A658B21">
            <w:pPr>
              <w:spacing w:before="53" w:line="360" w:lineRule="auto"/>
              <w:jc w:val="center"/>
              <w:outlineLvl w:val="2"/>
              <w:rPr>
                <w:rFonts w:ascii="Times New Roman" w:hAnsi="Times New Roman"/>
                <w:b/>
                <w:bCs/>
                <w:color w:val="auto"/>
                <w:sz w:val="24"/>
                <w:szCs w:val="30"/>
                <w:highlight w:val="none"/>
                <w:lang w:val="zh-CN" w:bidi="zh-CN"/>
              </w:rPr>
            </w:pPr>
            <w:r>
              <w:rPr>
                <w:rFonts w:hint="eastAsia" w:ascii="Times New Roman" w:hAnsi="Times New Roman"/>
                <w:color w:val="auto"/>
                <w:sz w:val="24"/>
                <w:szCs w:val="24"/>
                <w:highlight w:val="none"/>
                <w:shd w:val="clear" w:color="auto" w:fill="FFFFFF"/>
                <w:lang w:bidi="ar"/>
              </w:rPr>
              <w:t>序号</w:t>
            </w:r>
          </w:p>
        </w:tc>
        <w:tc>
          <w:tcPr>
            <w:tcW w:w="6319" w:type="dxa"/>
          </w:tcPr>
          <w:p w14:paraId="7BF8F827">
            <w:pPr>
              <w:spacing w:before="53" w:line="360" w:lineRule="auto"/>
              <w:outlineLvl w:val="2"/>
              <w:rPr>
                <w:rFonts w:ascii="Times New Roman" w:hAnsi="Times New Roman"/>
                <w:b/>
                <w:bCs/>
                <w:color w:val="auto"/>
                <w:sz w:val="24"/>
                <w:szCs w:val="30"/>
                <w:highlight w:val="none"/>
                <w:lang w:val="zh-CN" w:bidi="zh-CN"/>
              </w:rPr>
            </w:pPr>
          </w:p>
        </w:tc>
      </w:tr>
      <w:tr w14:paraId="4FE79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vAlign w:val="center"/>
          </w:tcPr>
          <w:p w14:paraId="4B455116">
            <w:pPr>
              <w:spacing w:before="53" w:line="360" w:lineRule="auto"/>
              <w:jc w:val="center"/>
              <w:outlineLvl w:val="2"/>
              <w:rPr>
                <w:rFonts w:ascii="Times New Roman" w:hAnsi="Times New Roman"/>
                <w:b/>
                <w:bCs/>
                <w:color w:val="auto"/>
                <w:sz w:val="24"/>
                <w:szCs w:val="30"/>
                <w:highlight w:val="none"/>
                <w:lang w:val="zh-CN" w:bidi="zh-CN"/>
              </w:rPr>
            </w:pPr>
            <w:r>
              <w:rPr>
                <w:rFonts w:hint="eastAsia" w:ascii="Times New Roman" w:hAnsi="Times New Roman"/>
                <w:color w:val="auto"/>
                <w:sz w:val="24"/>
                <w:szCs w:val="24"/>
                <w:highlight w:val="none"/>
                <w:shd w:val="clear" w:color="auto" w:fill="FFFFFF"/>
                <w:lang w:bidi="ar"/>
              </w:rPr>
              <w:t>项目名称</w:t>
            </w:r>
          </w:p>
        </w:tc>
        <w:tc>
          <w:tcPr>
            <w:tcW w:w="6319" w:type="dxa"/>
          </w:tcPr>
          <w:p w14:paraId="1C099AC3">
            <w:pPr>
              <w:spacing w:before="53" w:line="360" w:lineRule="auto"/>
              <w:outlineLvl w:val="2"/>
              <w:rPr>
                <w:rFonts w:ascii="Times New Roman" w:hAnsi="Times New Roman"/>
                <w:b/>
                <w:bCs/>
                <w:color w:val="auto"/>
                <w:sz w:val="24"/>
                <w:szCs w:val="30"/>
                <w:highlight w:val="none"/>
                <w:lang w:val="zh-CN" w:bidi="zh-CN"/>
              </w:rPr>
            </w:pPr>
          </w:p>
        </w:tc>
      </w:tr>
      <w:tr w14:paraId="705F8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vAlign w:val="center"/>
          </w:tcPr>
          <w:p w14:paraId="2DAA634C">
            <w:pPr>
              <w:spacing w:before="53" w:line="360" w:lineRule="auto"/>
              <w:jc w:val="center"/>
              <w:outlineLvl w:val="2"/>
              <w:rPr>
                <w:rFonts w:ascii="Times New Roman" w:hAnsi="Times New Roman"/>
                <w:b/>
                <w:bCs/>
                <w:color w:val="auto"/>
                <w:sz w:val="24"/>
                <w:szCs w:val="30"/>
                <w:highlight w:val="none"/>
                <w:lang w:val="zh-CN" w:bidi="zh-CN"/>
              </w:rPr>
            </w:pPr>
            <w:r>
              <w:rPr>
                <w:rFonts w:hint="eastAsia" w:ascii="Times New Roman" w:hAnsi="Times New Roman"/>
                <w:color w:val="auto"/>
                <w:sz w:val="24"/>
                <w:szCs w:val="24"/>
                <w:highlight w:val="none"/>
                <w:shd w:val="clear" w:color="auto" w:fill="FFFFFF"/>
                <w:lang w:bidi="ar"/>
              </w:rPr>
              <w:t>合同金额</w:t>
            </w:r>
          </w:p>
        </w:tc>
        <w:tc>
          <w:tcPr>
            <w:tcW w:w="6319" w:type="dxa"/>
          </w:tcPr>
          <w:p w14:paraId="14E2E8AB">
            <w:pPr>
              <w:spacing w:before="53" w:line="360" w:lineRule="auto"/>
              <w:outlineLvl w:val="2"/>
              <w:rPr>
                <w:rFonts w:ascii="Times New Roman" w:hAnsi="Times New Roman"/>
                <w:b/>
                <w:bCs/>
                <w:color w:val="auto"/>
                <w:sz w:val="24"/>
                <w:szCs w:val="30"/>
                <w:highlight w:val="none"/>
                <w:lang w:val="zh-CN" w:bidi="zh-CN"/>
              </w:rPr>
            </w:pPr>
          </w:p>
        </w:tc>
      </w:tr>
      <w:tr w14:paraId="7487A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vAlign w:val="center"/>
          </w:tcPr>
          <w:p w14:paraId="4FD27D49">
            <w:pPr>
              <w:spacing w:before="53" w:line="360" w:lineRule="auto"/>
              <w:jc w:val="center"/>
              <w:outlineLvl w:val="2"/>
              <w:rPr>
                <w:rFonts w:ascii="Times New Roman" w:hAnsi="Times New Roman"/>
                <w:b/>
                <w:bCs/>
                <w:color w:val="auto"/>
                <w:sz w:val="24"/>
                <w:szCs w:val="30"/>
                <w:highlight w:val="none"/>
                <w:lang w:val="zh-CN" w:bidi="zh-CN"/>
              </w:rPr>
            </w:pPr>
            <w:r>
              <w:rPr>
                <w:rFonts w:hint="eastAsia" w:ascii="Times New Roman" w:hAnsi="Times New Roman"/>
                <w:color w:val="auto"/>
                <w:sz w:val="24"/>
                <w:szCs w:val="24"/>
                <w:highlight w:val="none"/>
                <w:shd w:val="clear" w:color="auto" w:fill="FFFFFF"/>
                <w:lang w:bidi="ar"/>
              </w:rPr>
              <w:t>合同时间</w:t>
            </w:r>
          </w:p>
        </w:tc>
        <w:tc>
          <w:tcPr>
            <w:tcW w:w="6319" w:type="dxa"/>
          </w:tcPr>
          <w:p w14:paraId="3D23FFC8">
            <w:pPr>
              <w:spacing w:before="53" w:line="360" w:lineRule="auto"/>
              <w:outlineLvl w:val="2"/>
              <w:rPr>
                <w:rFonts w:ascii="Times New Roman" w:hAnsi="Times New Roman"/>
                <w:b/>
                <w:bCs/>
                <w:color w:val="auto"/>
                <w:sz w:val="24"/>
                <w:szCs w:val="30"/>
                <w:highlight w:val="none"/>
                <w:lang w:val="zh-CN" w:bidi="zh-CN"/>
              </w:rPr>
            </w:pPr>
          </w:p>
        </w:tc>
      </w:tr>
      <w:tr w14:paraId="7E76D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vAlign w:val="center"/>
          </w:tcPr>
          <w:p w14:paraId="2D38E99D">
            <w:pPr>
              <w:spacing w:before="53" w:line="360" w:lineRule="auto"/>
              <w:jc w:val="center"/>
              <w:outlineLvl w:val="2"/>
              <w:rPr>
                <w:rFonts w:ascii="Times New Roman" w:hAnsi="Times New Roman"/>
                <w:b/>
                <w:bCs/>
                <w:color w:val="auto"/>
                <w:sz w:val="24"/>
                <w:szCs w:val="30"/>
                <w:highlight w:val="none"/>
                <w:lang w:val="zh-CN" w:bidi="zh-CN"/>
              </w:rPr>
            </w:pPr>
            <w:r>
              <w:rPr>
                <w:rFonts w:hint="eastAsia" w:ascii="Times New Roman" w:hAnsi="Times New Roman"/>
                <w:color w:val="auto"/>
                <w:sz w:val="24"/>
                <w:szCs w:val="24"/>
                <w:highlight w:val="none"/>
                <w:shd w:val="clear" w:color="auto" w:fill="FFFFFF"/>
                <w:lang w:bidi="ar"/>
              </w:rPr>
              <w:t>委托人名称</w:t>
            </w:r>
          </w:p>
        </w:tc>
        <w:tc>
          <w:tcPr>
            <w:tcW w:w="6319" w:type="dxa"/>
          </w:tcPr>
          <w:p w14:paraId="62065312">
            <w:pPr>
              <w:spacing w:before="53" w:line="360" w:lineRule="auto"/>
              <w:outlineLvl w:val="2"/>
              <w:rPr>
                <w:rFonts w:ascii="Times New Roman" w:hAnsi="Times New Roman"/>
                <w:b/>
                <w:bCs/>
                <w:color w:val="auto"/>
                <w:sz w:val="24"/>
                <w:szCs w:val="30"/>
                <w:highlight w:val="none"/>
                <w:lang w:val="zh-CN" w:bidi="zh-CN"/>
              </w:rPr>
            </w:pPr>
          </w:p>
        </w:tc>
      </w:tr>
      <w:tr w14:paraId="63927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vAlign w:val="center"/>
          </w:tcPr>
          <w:p w14:paraId="6131C2F0">
            <w:pPr>
              <w:spacing w:before="53" w:line="360" w:lineRule="auto"/>
              <w:jc w:val="center"/>
              <w:outlineLvl w:val="2"/>
              <w:rPr>
                <w:rFonts w:ascii="Times New Roman" w:hAnsi="Times New Roman"/>
                <w:b/>
                <w:bCs/>
                <w:color w:val="auto"/>
                <w:sz w:val="24"/>
                <w:szCs w:val="30"/>
                <w:highlight w:val="none"/>
                <w:lang w:val="zh-CN" w:bidi="zh-CN"/>
              </w:rPr>
            </w:pPr>
            <w:r>
              <w:rPr>
                <w:rFonts w:hint="eastAsia" w:ascii="Times New Roman" w:hAnsi="Times New Roman"/>
                <w:color w:val="auto"/>
                <w:sz w:val="24"/>
                <w:szCs w:val="24"/>
                <w:highlight w:val="none"/>
                <w:shd w:val="clear" w:color="auto" w:fill="FFFFFF"/>
                <w:lang w:bidi="ar"/>
              </w:rPr>
              <w:t>委托人联系方式</w:t>
            </w:r>
          </w:p>
        </w:tc>
        <w:tc>
          <w:tcPr>
            <w:tcW w:w="6319" w:type="dxa"/>
          </w:tcPr>
          <w:p w14:paraId="0C58C5EA">
            <w:pPr>
              <w:spacing w:before="53" w:line="360" w:lineRule="auto"/>
              <w:outlineLvl w:val="2"/>
              <w:rPr>
                <w:rFonts w:ascii="Times New Roman" w:hAnsi="Times New Roman"/>
                <w:b/>
                <w:bCs/>
                <w:color w:val="auto"/>
                <w:sz w:val="24"/>
                <w:szCs w:val="30"/>
                <w:highlight w:val="none"/>
                <w:lang w:val="zh-CN" w:bidi="zh-CN"/>
              </w:rPr>
            </w:pPr>
          </w:p>
        </w:tc>
      </w:tr>
      <w:tr w14:paraId="41A16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2160" w:type="dxa"/>
            <w:vAlign w:val="center"/>
          </w:tcPr>
          <w:p w14:paraId="5185BF40">
            <w:pPr>
              <w:spacing w:before="53" w:line="360" w:lineRule="auto"/>
              <w:jc w:val="center"/>
              <w:outlineLvl w:val="2"/>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备注</w:t>
            </w:r>
          </w:p>
        </w:tc>
        <w:tc>
          <w:tcPr>
            <w:tcW w:w="6319" w:type="dxa"/>
          </w:tcPr>
          <w:p w14:paraId="30438B19">
            <w:pPr>
              <w:spacing w:before="53" w:line="360" w:lineRule="auto"/>
              <w:outlineLvl w:val="2"/>
              <w:rPr>
                <w:rFonts w:ascii="Times New Roman" w:hAnsi="Times New Roman"/>
                <w:b/>
                <w:bCs/>
                <w:color w:val="auto"/>
                <w:sz w:val="24"/>
                <w:szCs w:val="30"/>
                <w:highlight w:val="none"/>
                <w:lang w:val="zh-CN" w:bidi="zh-CN"/>
              </w:rPr>
            </w:pPr>
          </w:p>
        </w:tc>
      </w:tr>
    </w:tbl>
    <w:p w14:paraId="0A490AC8">
      <w:pPr>
        <w:spacing w:line="450" w:lineRule="exact"/>
        <w:ind w:firstLine="480" w:firstLineChars="200"/>
        <w:rPr>
          <w:rFonts w:ascii="Times New Roman" w:hAnsi="Times New Roman"/>
          <w:color w:val="auto"/>
          <w:sz w:val="24"/>
          <w:szCs w:val="24"/>
          <w:highlight w:val="none"/>
        </w:rPr>
      </w:pPr>
      <w:r>
        <w:rPr>
          <w:rFonts w:hint="eastAsia" w:ascii="Times New Roman" w:hAnsi="Times New Roman"/>
          <w:color w:val="auto"/>
          <w:kern w:val="0"/>
          <w:sz w:val="24"/>
          <w:szCs w:val="24"/>
          <w:highlight w:val="none"/>
        </w:rPr>
        <w:t>注：</w:t>
      </w:r>
      <w:r>
        <w:rPr>
          <w:rFonts w:hint="eastAsia" w:ascii="Times New Roman" w:hAnsi="Times New Roman"/>
          <w:color w:val="auto"/>
          <w:sz w:val="24"/>
          <w:szCs w:val="24"/>
          <w:highlight w:val="none"/>
        </w:rPr>
        <w:t>标明序号，每张表格只填写一个项目，具体年份要求详见供应商须知。</w:t>
      </w:r>
    </w:p>
    <w:p w14:paraId="3C2B9861">
      <w:pPr>
        <w:spacing w:line="360" w:lineRule="auto"/>
        <w:ind w:firstLine="480"/>
        <w:rPr>
          <w:rFonts w:ascii="Times New Roman" w:hAnsi="Times New Roman"/>
          <w:color w:val="auto"/>
          <w:sz w:val="24"/>
          <w:szCs w:val="44"/>
          <w:highlight w:val="none"/>
        </w:rPr>
      </w:pPr>
    </w:p>
    <w:p w14:paraId="2E25CBCB">
      <w:pPr>
        <w:spacing w:line="460" w:lineRule="exac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供应商：</w:t>
      </w:r>
      <w:r>
        <w:rPr>
          <w:rFonts w:ascii="Times New Roman" w:hAnsi="Times New Roman"/>
          <w:color w:val="auto"/>
          <w:sz w:val="24"/>
          <w:szCs w:val="24"/>
          <w:highlight w:val="none"/>
          <w:u w:val="single"/>
          <w:shd w:val="clear" w:color="auto" w:fill="FFFFFF"/>
          <w:lang w:bidi="ar"/>
        </w:rPr>
        <w:t xml:space="preserve">                     </w:t>
      </w:r>
      <w:r>
        <w:rPr>
          <w:rFonts w:ascii="Times New Roman" w:hAnsi="Times New Roman"/>
          <w:color w:val="auto"/>
          <w:sz w:val="24"/>
          <w:szCs w:val="24"/>
          <w:highlight w:val="none"/>
          <w:shd w:val="clear" w:color="auto" w:fill="FFFFFF"/>
          <w:lang w:bidi="ar"/>
        </w:rPr>
        <w:t>(</w:t>
      </w:r>
      <w:r>
        <w:rPr>
          <w:rFonts w:hint="eastAsia" w:ascii="Times New Roman" w:hAnsi="Times New Roman"/>
          <w:color w:val="auto"/>
          <w:sz w:val="24"/>
          <w:szCs w:val="24"/>
          <w:highlight w:val="none"/>
          <w:shd w:val="clear" w:color="auto" w:fill="FFFFFF"/>
          <w:lang w:bidi="ar"/>
        </w:rPr>
        <w:t>电子签章</w:t>
      </w:r>
      <w:r>
        <w:rPr>
          <w:rFonts w:ascii="Times New Roman" w:hAnsi="Times New Roman"/>
          <w:color w:val="auto"/>
          <w:sz w:val="24"/>
          <w:szCs w:val="24"/>
          <w:highlight w:val="none"/>
          <w:shd w:val="clear" w:color="auto" w:fill="FFFFFF"/>
          <w:lang w:bidi="ar"/>
        </w:rPr>
        <w:t xml:space="preserve">) </w:t>
      </w:r>
    </w:p>
    <w:p w14:paraId="386E10AB">
      <w:pPr>
        <w:spacing w:line="460" w:lineRule="exac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法定代表人</w:t>
      </w:r>
      <w:r>
        <w:rPr>
          <w:rFonts w:ascii="Times New Roman" w:hAnsi="Times New Roman"/>
          <w:color w:val="auto"/>
          <w:sz w:val="24"/>
          <w:szCs w:val="24"/>
          <w:highlight w:val="none"/>
          <w:shd w:val="clear" w:color="auto" w:fill="FFFFFF"/>
          <w:lang w:bidi="ar"/>
        </w:rPr>
        <w:t xml:space="preserve"> </w:t>
      </w:r>
      <w:r>
        <w:rPr>
          <w:rFonts w:hint="eastAsia" w:ascii="Times New Roman" w:hAnsi="Times New Roman"/>
          <w:color w:val="auto"/>
          <w:sz w:val="24"/>
          <w:szCs w:val="24"/>
          <w:highlight w:val="none"/>
          <w:shd w:val="clear" w:color="auto" w:fill="FFFFFF"/>
          <w:lang w:bidi="ar"/>
        </w:rPr>
        <w:t>：</w:t>
      </w:r>
      <w:r>
        <w:rPr>
          <w:rFonts w:ascii="Times New Roman" w:hAnsi="Times New Roman"/>
          <w:color w:val="auto"/>
          <w:sz w:val="24"/>
          <w:szCs w:val="24"/>
          <w:highlight w:val="none"/>
          <w:u w:val="single"/>
          <w:shd w:val="clear" w:color="auto" w:fill="FFFFFF"/>
          <w:lang w:bidi="ar"/>
        </w:rPr>
        <w:t xml:space="preserve">        </w:t>
      </w:r>
      <w:r>
        <w:rPr>
          <w:rFonts w:ascii="Times New Roman" w:hAnsi="Times New Roman"/>
          <w:color w:val="auto"/>
          <w:sz w:val="24"/>
          <w:szCs w:val="24"/>
          <w:highlight w:val="none"/>
          <w:shd w:val="clear" w:color="auto" w:fill="FFFFFF"/>
          <w:lang w:bidi="ar"/>
        </w:rPr>
        <w:t>(</w:t>
      </w:r>
      <w:r>
        <w:rPr>
          <w:rFonts w:hint="eastAsia" w:ascii="Times New Roman" w:hAnsi="Times New Roman"/>
          <w:color w:val="auto"/>
          <w:sz w:val="24"/>
          <w:szCs w:val="24"/>
          <w:highlight w:val="none"/>
          <w:shd w:val="clear" w:color="auto" w:fill="FFFFFF"/>
          <w:lang w:bidi="ar"/>
        </w:rPr>
        <w:t>法定代表人电子签章</w:t>
      </w:r>
      <w:r>
        <w:rPr>
          <w:rFonts w:ascii="Times New Roman" w:hAnsi="Times New Roman"/>
          <w:color w:val="auto"/>
          <w:sz w:val="24"/>
          <w:szCs w:val="24"/>
          <w:highlight w:val="none"/>
          <w:shd w:val="clear" w:color="auto" w:fill="FFFFFF"/>
          <w:lang w:bidi="ar"/>
        </w:rPr>
        <w:t xml:space="preserve">) </w:t>
      </w:r>
    </w:p>
    <w:p w14:paraId="63A99FE9">
      <w:pPr>
        <w:spacing w:line="460" w:lineRule="exac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日</w:t>
      </w:r>
      <w:r>
        <w:rPr>
          <w:rFonts w:ascii="Times New Roman" w:hAnsi="Times New Roman"/>
          <w:color w:val="auto"/>
          <w:sz w:val="24"/>
          <w:szCs w:val="24"/>
          <w:highlight w:val="none"/>
          <w:shd w:val="clear" w:color="auto" w:fill="FFFFFF"/>
          <w:lang w:bidi="ar"/>
        </w:rPr>
        <w:t xml:space="preserve">       </w:t>
      </w:r>
      <w:r>
        <w:rPr>
          <w:rFonts w:hint="eastAsia" w:ascii="Times New Roman" w:hAnsi="Times New Roman"/>
          <w:color w:val="auto"/>
          <w:sz w:val="24"/>
          <w:szCs w:val="24"/>
          <w:highlight w:val="none"/>
          <w:shd w:val="clear" w:color="auto" w:fill="FFFFFF"/>
          <w:lang w:bidi="ar"/>
        </w:rPr>
        <w:t>期：</w:t>
      </w:r>
      <w:r>
        <w:rPr>
          <w:rFonts w:ascii="Times New Roman" w:hAnsi="Times New Roman"/>
          <w:color w:val="auto"/>
          <w:sz w:val="24"/>
          <w:szCs w:val="24"/>
          <w:highlight w:val="none"/>
          <w:u w:val="single"/>
          <w:shd w:val="clear" w:color="auto" w:fill="FFFFFF"/>
          <w:lang w:bidi="ar"/>
        </w:rPr>
        <w:t xml:space="preserve">         </w:t>
      </w:r>
      <w:r>
        <w:rPr>
          <w:rFonts w:hint="eastAsia" w:ascii="Times New Roman" w:hAnsi="Times New Roman"/>
          <w:color w:val="auto"/>
          <w:sz w:val="24"/>
          <w:szCs w:val="24"/>
          <w:highlight w:val="none"/>
          <w:shd w:val="clear" w:color="auto" w:fill="FFFFFF"/>
          <w:lang w:bidi="ar"/>
        </w:rPr>
        <w:t>年</w:t>
      </w:r>
      <w:r>
        <w:rPr>
          <w:rFonts w:ascii="Times New Roman" w:hAnsi="Times New Roman"/>
          <w:color w:val="auto"/>
          <w:sz w:val="24"/>
          <w:szCs w:val="24"/>
          <w:highlight w:val="none"/>
          <w:shd w:val="clear" w:color="auto" w:fill="FFFFFF"/>
          <w:lang w:bidi="ar"/>
        </w:rPr>
        <w:t xml:space="preserve"> </w:t>
      </w:r>
      <w:r>
        <w:rPr>
          <w:rFonts w:ascii="Times New Roman" w:hAnsi="Times New Roman"/>
          <w:color w:val="auto"/>
          <w:sz w:val="24"/>
          <w:szCs w:val="24"/>
          <w:highlight w:val="none"/>
          <w:u w:val="single"/>
          <w:shd w:val="clear" w:color="auto" w:fill="FFFFFF"/>
          <w:lang w:bidi="ar"/>
        </w:rPr>
        <w:t xml:space="preserve">    </w:t>
      </w:r>
      <w:r>
        <w:rPr>
          <w:rFonts w:hint="eastAsia" w:ascii="Times New Roman" w:hAnsi="Times New Roman"/>
          <w:color w:val="auto"/>
          <w:sz w:val="24"/>
          <w:szCs w:val="24"/>
          <w:highlight w:val="none"/>
          <w:shd w:val="clear" w:color="auto" w:fill="FFFFFF"/>
          <w:lang w:bidi="ar"/>
        </w:rPr>
        <w:t>月</w:t>
      </w:r>
      <w:r>
        <w:rPr>
          <w:rFonts w:ascii="Times New Roman" w:hAnsi="Times New Roman"/>
          <w:color w:val="auto"/>
          <w:sz w:val="24"/>
          <w:szCs w:val="24"/>
          <w:highlight w:val="none"/>
          <w:u w:val="single"/>
          <w:shd w:val="clear" w:color="auto" w:fill="FFFFFF"/>
          <w:lang w:bidi="ar"/>
        </w:rPr>
        <w:t xml:space="preserve">    </w:t>
      </w:r>
      <w:r>
        <w:rPr>
          <w:rFonts w:hint="eastAsia" w:ascii="Times New Roman" w:hAnsi="Times New Roman"/>
          <w:color w:val="auto"/>
          <w:sz w:val="24"/>
          <w:szCs w:val="24"/>
          <w:highlight w:val="none"/>
          <w:shd w:val="clear" w:color="auto" w:fill="FFFFFF"/>
          <w:lang w:bidi="ar"/>
        </w:rPr>
        <w:t>日</w:t>
      </w:r>
    </w:p>
    <w:p w14:paraId="04EF49C7">
      <w:pPr>
        <w:spacing w:line="480" w:lineRule="auto"/>
        <w:rPr>
          <w:rFonts w:ascii="Times New Roman" w:hAnsi="Times New Roman"/>
          <w:color w:val="auto"/>
          <w:sz w:val="24"/>
          <w:szCs w:val="24"/>
          <w:highlight w:val="none"/>
        </w:rPr>
      </w:pPr>
      <w:bookmarkStart w:id="522" w:name="_Toc151210179"/>
      <w:bookmarkStart w:id="523" w:name="_Toc96965865"/>
    </w:p>
    <w:p w14:paraId="3276BF38">
      <w:pPr>
        <w:spacing w:line="360" w:lineRule="auto"/>
        <w:ind w:firstLine="400" w:firstLineChars="200"/>
        <w:jc w:val="left"/>
        <w:rPr>
          <w:rFonts w:ascii="Times New Roman" w:hAnsi="Times New Roman"/>
          <w:color w:val="auto"/>
          <w:kern w:val="0"/>
          <w:sz w:val="20"/>
          <w:szCs w:val="20"/>
          <w:highlight w:val="none"/>
        </w:rPr>
      </w:pPr>
    </w:p>
    <w:p w14:paraId="57C34E0B">
      <w:pPr>
        <w:spacing w:before="53" w:line="500" w:lineRule="exact"/>
        <w:jc w:val="center"/>
        <w:outlineLvl w:val="2"/>
        <w:rPr>
          <w:rFonts w:ascii="Times New Roman" w:hAnsi="Times New Roman"/>
          <w:b/>
          <w:bCs/>
          <w:color w:val="auto"/>
          <w:sz w:val="24"/>
          <w:szCs w:val="30"/>
          <w:highlight w:val="none"/>
          <w:lang w:val="zh-CN" w:bidi="zh-CN"/>
        </w:rPr>
      </w:pPr>
      <w:bookmarkStart w:id="524" w:name="_Toc176358388"/>
      <w:bookmarkStart w:id="525" w:name="OLE_LINK2"/>
      <w:r>
        <w:rPr>
          <w:rFonts w:ascii="Times New Roman" w:hAnsi="Times New Roman"/>
          <w:b/>
          <w:bCs/>
          <w:color w:val="auto"/>
          <w:sz w:val="24"/>
          <w:szCs w:val="30"/>
          <w:highlight w:val="none"/>
          <w:lang w:val="zh-CN" w:bidi="zh-CN"/>
        </w:rPr>
        <w:br w:type="page"/>
      </w:r>
      <w:r>
        <w:rPr>
          <w:rFonts w:hint="eastAsia" w:ascii="Times New Roman" w:hAnsi="Times New Roman"/>
          <w:b/>
          <w:bCs/>
          <w:color w:val="auto"/>
          <w:sz w:val="24"/>
          <w:szCs w:val="30"/>
          <w:highlight w:val="none"/>
          <w:lang w:val="zh-CN" w:bidi="zh-CN"/>
        </w:rPr>
        <w:t>（</w:t>
      </w:r>
      <w:r>
        <w:rPr>
          <w:rFonts w:hint="eastAsia" w:ascii="Times New Roman" w:hAnsi="Times New Roman"/>
          <w:b/>
          <w:bCs/>
          <w:color w:val="auto"/>
          <w:sz w:val="24"/>
          <w:szCs w:val="30"/>
          <w:highlight w:val="none"/>
          <w:lang w:bidi="zh-CN"/>
        </w:rPr>
        <w:t>五</w:t>
      </w:r>
      <w:r>
        <w:rPr>
          <w:rFonts w:hint="eastAsia" w:ascii="Times New Roman" w:hAnsi="Times New Roman"/>
          <w:b/>
          <w:bCs/>
          <w:color w:val="auto"/>
          <w:sz w:val="24"/>
          <w:szCs w:val="30"/>
          <w:highlight w:val="none"/>
          <w:lang w:val="zh-CN" w:bidi="zh-CN"/>
        </w:rPr>
        <w:t>）</w:t>
      </w:r>
      <w:bookmarkEnd w:id="522"/>
      <w:bookmarkEnd w:id="523"/>
      <w:bookmarkEnd w:id="524"/>
      <w:r>
        <w:rPr>
          <w:rFonts w:hint="eastAsia" w:ascii="Times New Roman" w:hAnsi="Times New Roman"/>
          <w:b/>
          <w:bCs/>
          <w:color w:val="auto"/>
          <w:sz w:val="24"/>
          <w:szCs w:val="30"/>
          <w:highlight w:val="none"/>
          <w:lang w:val="zh-CN" w:bidi="zh-CN"/>
        </w:rPr>
        <w:t>供应商资格</w:t>
      </w:r>
      <w:r>
        <w:rPr>
          <w:rFonts w:hint="eastAsia" w:ascii="Times New Roman" w:hAnsi="Times New Roman"/>
          <w:b/>
          <w:bCs/>
          <w:color w:val="auto"/>
          <w:sz w:val="24"/>
          <w:szCs w:val="30"/>
          <w:highlight w:val="none"/>
          <w:lang w:bidi="zh-CN"/>
        </w:rPr>
        <w:t>其他的</w:t>
      </w:r>
      <w:r>
        <w:rPr>
          <w:rFonts w:hint="eastAsia" w:ascii="Times New Roman" w:hAnsi="Times New Roman"/>
          <w:b/>
          <w:bCs/>
          <w:color w:val="auto"/>
          <w:sz w:val="24"/>
          <w:szCs w:val="30"/>
          <w:highlight w:val="none"/>
          <w:lang w:val="zh-CN" w:bidi="zh-CN"/>
        </w:rPr>
        <w:t>证明文件</w:t>
      </w:r>
    </w:p>
    <w:bookmarkEnd w:id="525"/>
    <w:p w14:paraId="2F18E753">
      <w:pPr>
        <w:spacing w:line="480" w:lineRule="exact"/>
        <w:ind w:firstLine="480" w:firstLineChars="200"/>
        <w:rPr>
          <w:rFonts w:ascii="Times New Roman" w:hAnsi="Times New Roman"/>
          <w:color w:val="auto"/>
          <w:sz w:val="24"/>
          <w:szCs w:val="24"/>
          <w:highlight w:val="none"/>
          <w:shd w:val="clear" w:color="auto" w:fill="FFFFFF"/>
          <w:lang w:bidi="ar"/>
        </w:rPr>
      </w:pPr>
      <w:r>
        <w:rPr>
          <w:rFonts w:ascii="Times New Roman" w:hAnsi="Times New Roman"/>
          <w:color w:val="auto"/>
          <w:sz w:val="24"/>
          <w:szCs w:val="24"/>
          <w:highlight w:val="none"/>
          <w:shd w:val="clear" w:color="auto" w:fill="FFFFFF"/>
          <w:lang w:bidi="ar"/>
        </w:rPr>
        <w:t>1</w:t>
      </w:r>
      <w:r>
        <w:rPr>
          <w:rFonts w:hint="eastAsia" w:ascii="Times New Roman" w:hAnsi="Times New Roman"/>
          <w:color w:val="auto"/>
          <w:sz w:val="24"/>
          <w:szCs w:val="24"/>
          <w:highlight w:val="none"/>
          <w:shd w:val="clear" w:color="auto" w:fill="FFFFFF"/>
          <w:lang w:bidi="ar"/>
        </w:rPr>
        <w:t>、满足《中华人民共和国政府采购法》第二十二条规定；</w:t>
      </w:r>
    </w:p>
    <w:p w14:paraId="2FC1459A">
      <w:pPr>
        <w:spacing w:line="480" w:lineRule="exact"/>
        <w:ind w:firstLine="480" w:firstLineChars="200"/>
        <w:rPr>
          <w:rFonts w:ascii="Times New Roman" w:hAnsi="Times New Roman"/>
          <w:color w:val="auto"/>
          <w:sz w:val="24"/>
          <w:szCs w:val="24"/>
          <w:highlight w:val="none"/>
          <w:shd w:val="clear" w:color="auto" w:fill="FFFFFF"/>
          <w:lang w:bidi="ar"/>
        </w:rPr>
      </w:pPr>
      <w:r>
        <w:rPr>
          <w:rFonts w:ascii="Times New Roman" w:hAnsi="Times New Roman"/>
          <w:color w:val="auto"/>
          <w:sz w:val="24"/>
          <w:szCs w:val="24"/>
          <w:highlight w:val="none"/>
          <w:shd w:val="clear" w:color="auto" w:fill="FFFFFF"/>
          <w:lang w:bidi="ar"/>
        </w:rPr>
        <w:t>2</w:t>
      </w:r>
      <w:r>
        <w:rPr>
          <w:rFonts w:hint="eastAsia" w:ascii="Times New Roman" w:hAnsi="Times New Roman"/>
          <w:color w:val="auto"/>
          <w:sz w:val="24"/>
          <w:szCs w:val="24"/>
          <w:highlight w:val="none"/>
          <w:shd w:val="clear" w:color="auto" w:fill="FFFFFF"/>
          <w:lang w:bidi="ar"/>
        </w:rPr>
        <w:t>、落实政府采购政策满足的资格要求：</w:t>
      </w:r>
    </w:p>
    <w:p w14:paraId="1829E797">
      <w:pPr>
        <w:spacing w:line="480" w:lineRule="exact"/>
        <w:ind w:firstLine="480" w:firstLineChars="200"/>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执行促进中小企业（监狱企业、残疾人福利性企业视为小微企业）发展等政府采购政策</w:t>
      </w:r>
    </w:p>
    <w:p w14:paraId="0B109004">
      <w:pPr>
        <w:spacing w:line="480" w:lineRule="exact"/>
        <w:ind w:firstLine="480" w:firstLineChars="200"/>
        <w:rPr>
          <w:rFonts w:ascii="Times New Roman" w:hAnsi="Times New Roman"/>
          <w:color w:val="auto"/>
          <w:sz w:val="24"/>
          <w:szCs w:val="24"/>
          <w:highlight w:val="none"/>
          <w:shd w:val="clear" w:color="auto" w:fill="FFFFFF"/>
          <w:lang w:bidi="ar"/>
        </w:rPr>
      </w:pPr>
      <w:r>
        <w:rPr>
          <w:rFonts w:ascii="Times New Roman" w:hAnsi="Times New Roman"/>
          <w:color w:val="auto"/>
          <w:sz w:val="24"/>
          <w:szCs w:val="24"/>
          <w:highlight w:val="none"/>
          <w:shd w:val="clear" w:color="auto" w:fill="FFFFFF"/>
          <w:lang w:bidi="ar"/>
        </w:rPr>
        <w:t>3</w:t>
      </w:r>
      <w:r>
        <w:rPr>
          <w:rFonts w:hint="eastAsia" w:ascii="Times New Roman" w:hAnsi="Times New Roman"/>
          <w:color w:val="auto"/>
          <w:sz w:val="24"/>
          <w:szCs w:val="24"/>
          <w:highlight w:val="none"/>
          <w:shd w:val="clear" w:color="auto" w:fill="FFFFFF"/>
          <w:lang w:bidi="ar"/>
        </w:rPr>
        <w:t>、本项目的特定资格要求</w:t>
      </w:r>
      <w:r>
        <w:rPr>
          <w:rFonts w:ascii="Times New Roman" w:hAnsi="Times New Roman"/>
          <w:color w:val="auto"/>
          <w:sz w:val="24"/>
          <w:szCs w:val="24"/>
          <w:highlight w:val="none"/>
          <w:shd w:val="clear" w:color="auto" w:fill="FFFFFF"/>
          <w:lang w:bidi="ar"/>
        </w:rPr>
        <w:tab/>
      </w:r>
    </w:p>
    <w:p w14:paraId="3AC4424B">
      <w:pPr>
        <w:spacing w:line="48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3.1</w:t>
      </w:r>
      <w:r>
        <w:rPr>
          <w:rFonts w:hint="eastAsia" w:ascii="Times New Roman" w:hAnsi="Times New Roman"/>
          <w:color w:val="auto"/>
          <w:sz w:val="24"/>
          <w:szCs w:val="24"/>
          <w:highlight w:val="none"/>
        </w:rPr>
        <w:t>供应商应具有合法有效的营业执照（可使用电子营业执照），并在人员、资金、设备及专业技术等方面具有与本项目相匹配的合同履约能力（提供承诺函，格式自拟）；</w:t>
      </w:r>
    </w:p>
    <w:p w14:paraId="41F43DBA">
      <w:pPr>
        <w:spacing w:line="48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3.2</w:t>
      </w:r>
      <w:r>
        <w:rPr>
          <w:rFonts w:hint="eastAsia" w:ascii="Times New Roman" w:hAnsi="Times New Roman"/>
          <w:color w:val="auto"/>
          <w:sz w:val="24"/>
          <w:szCs w:val="24"/>
          <w:highlight w:val="none"/>
        </w:rPr>
        <w:t>参加政府采购活动近三年内，在经营活动中没有重大违法记录（提供承诺书，格式自拟）</w:t>
      </w:r>
    </w:p>
    <w:p w14:paraId="60402843">
      <w:pPr>
        <w:spacing w:line="48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3.3</w:t>
      </w:r>
      <w:r>
        <w:rPr>
          <w:rFonts w:hint="eastAsia" w:ascii="Times New Roman" w:hAnsi="Times New Roman"/>
          <w:color w:val="auto"/>
          <w:sz w:val="24"/>
          <w:szCs w:val="24"/>
          <w:highlight w:val="none"/>
        </w:rPr>
        <w:t>供应商须承诺本企业无商业贿赂及不正当竞争行为（提供承诺书，格式自拟）；</w:t>
      </w:r>
    </w:p>
    <w:p w14:paraId="3FD31FF5">
      <w:pPr>
        <w:spacing w:line="48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3.4</w:t>
      </w:r>
      <w:r>
        <w:rPr>
          <w:rFonts w:hint="eastAsia" w:ascii="Times New Roman" w:hAnsi="Times New Roman"/>
          <w:color w:val="auto"/>
          <w:sz w:val="24"/>
          <w:szCs w:val="24"/>
          <w:highlight w:val="none"/>
        </w:rPr>
        <w:t>根据《关于在政府采购活动中查询及使用信用记录有关问题的通知》</w:t>
      </w:r>
      <w:r>
        <w:rPr>
          <w:rFonts w:ascii="Times New Roman" w:hAnsi="Times New Roman"/>
          <w:color w:val="auto"/>
          <w:sz w:val="24"/>
          <w:szCs w:val="24"/>
          <w:highlight w:val="none"/>
        </w:rPr>
        <w:t>(</w:t>
      </w:r>
      <w:r>
        <w:rPr>
          <w:rFonts w:hint="eastAsia" w:ascii="Times New Roman" w:hAnsi="Times New Roman"/>
          <w:color w:val="auto"/>
          <w:sz w:val="24"/>
          <w:szCs w:val="24"/>
          <w:highlight w:val="none"/>
        </w:rPr>
        <w:t>财库</w:t>
      </w:r>
      <w:r>
        <w:rPr>
          <w:rFonts w:ascii="Times New Roman" w:hAnsi="Times New Roman"/>
          <w:color w:val="auto"/>
          <w:sz w:val="24"/>
          <w:szCs w:val="24"/>
          <w:highlight w:val="none"/>
        </w:rPr>
        <w:t>[2016]125</w:t>
      </w:r>
      <w:r>
        <w:rPr>
          <w:rFonts w:hint="eastAsia" w:ascii="Times New Roman" w:hAnsi="Times New Roman"/>
          <w:color w:val="auto"/>
          <w:sz w:val="24"/>
          <w:szCs w:val="24"/>
          <w:highlight w:val="none"/>
        </w:rPr>
        <w:t>号</w:t>
      </w:r>
      <w:r>
        <w:rPr>
          <w:rFonts w:ascii="Times New Roman" w:hAnsi="Times New Roman"/>
          <w:color w:val="auto"/>
          <w:sz w:val="24"/>
          <w:szCs w:val="24"/>
          <w:highlight w:val="none"/>
        </w:rPr>
        <w:t>)</w:t>
      </w:r>
      <w:r>
        <w:rPr>
          <w:rFonts w:hint="eastAsia" w:ascii="Times New Roman" w:hAnsi="Times New Roman"/>
          <w:color w:val="auto"/>
          <w:sz w:val="24"/>
          <w:szCs w:val="24"/>
          <w:highlight w:val="none"/>
        </w:rPr>
        <w:t>和豫财购【</w:t>
      </w:r>
      <w:r>
        <w:rPr>
          <w:rFonts w:ascii="Times New Roman" w:hAnsi="Times New Roman"/>
          <w:color w:val="auto"/>
          <w:sz w:val="24"/>
          <w:szCs w:val="24"/>
          <w:highlight w:val="none"/>
        </w:rPr>
        <w:t>2016</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15</w:t>
      </w:r>
      <w:r>
        <w:rPr>
          <w:rFonts w:hint="eastAsia" w:ascii="Times New Roman" w:hAnsi="Times New Roman"/>
          <w:color w:val="auto"/>
          <w:sz w:val="24"/>
          <w:szCs w:val="24"/>
          <w:highlight w:val="none"/>
        </w:rPr>
        <w:t>号的规定，企业没有被列入“信用中国”网站的“失信被执行人”（跳转中国执行信息公开网）、“重大税收违法失信主体”、“政府采购严重违法失信行为记录名单”及“中国政府采购网站”的“政府采购严重违法失信行为记录名单”的供应商。（提供“中国执行信息公开网”、“信用中国”和“中国政府采购网”网站的查询信息截图，查询日期自公告发布之日起）；</w:t>
      </w:r>
    </w:p>
    <w:p w14:paraId="2767E803">
      <w:pPr>
        <w:spacing w:line="48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3.5</w:t>
      </w:r>
      <w:r>
        <w:rPr>
          <w:rFonts w:hint="eastAsia" w:ascii="Times New Roman" w:hAnsi="Times New Roman"/>
          <w:color w:val="auto"/>
          <w:sz w:val="24"/>
          <w:szCs w:val="24"/>
          <w:highlight w:val="none"/>
        </w:rPr>
        <w:t>单位负责人为同一人或者存在直接控股、管理关系的不同投标人，不得参加同一合同项下的政府采购活动，提供“国家企业信用信息公示系统”中查询截图（查询信息需包含公司基本信息、股东信息及股权变更信息等相关信息，查询起始日期为本项目公告发布之后）；</w:t>
      </w:r>
    </w:p>
    <w:p w14:paraId="6D248B4D">
      <w:pPr>
        <w:spacing w:line="500" w:lineRule="exact"/>
        <w:ind w:left="718" w:leftChars="270" w:hanging="151" w:hangingChars="63"/>
        <w:rPr>
          <w:rFonts w:ascii="Times New Roman" w:hAnsi="Times New Roman"/>
          <w:color w:val="auto"/>
          <w:sz w:val="24"/>
          <w:szCs w:val="24"/>
          <w:highlight w:val="none"/>
        </w:rPr>
      </w:pPr>
      <w:r>
        <w:rPr>
          <w:rFonts w:ascii="Times New Roman" w:hAnsi="Times New Roman"/>
          <w:color w:val="auto"/>
          <w:sz w:val="24"/>
          <w:szCs w:val="24"/>
          <w:highlight w:val="none"/>
        </w:rPr>
        <w:t>3.6</w:t>
      </w:r>
      <w:r>
        <w:rPr>
          <w:rFonts w:hint="eastAsia" w:ascii="Times New Roman" w:hAnsi="Times New Roman"/>
          <w:color w:val="auto"/>
          <w:sz w:val="24"/>
          <w:szCs w:val="24"/>
          <w:highlight w:val="none"/>
        </w:rPr>
        <w:t>本项目不接受联合体投标（自行作出承诺，格式自拟）</w:t>
      </w:r>
    </w:p>
    <w:p w14:paraId="5BEF4108">
      <w:pPr>
        <w:spacing w:line="517" w:lineRule="exact"/>
        <w:ind w:left="277" w:hanging="277" w:hangingChars="115"/>
        <w:jc w:val="center"/>
        <w:outlineLvl w:val="1"/>
        <w:rPr>
          <w:rFonts w:ascii="Times New Roman" w:hAnsi="Times New Roman"/>
          <w:b/>
          <w:bCs/>
          <w:color w:val="auto"/>
          <w:sz w:val="24"/>
          <w:szCs w:val="32"/>
          <w:highlight w:val="none"/>
          <w:lang w:val="zh-CN" w:bidi="zh-CN"/>
        </w:rPr>
      </w:pPr>
      <w:bookmarkStart w:id="526" w:name="_Toc176358392"/>
      <w:r>
        <w:rPr>
          <w:rFonts w:ascii="Times New Roman" w:hAnsi="Times New Roman"/>
          <w:b/>
          <w:bCs/>
          <w:color w:val="auto"/>
          <w:sz w:val="24"/>
          <w:szCs w:val="32"/>
          <w:highlight w:val="none"/>
          <w:lang w:val="zh-CN" w:bidi="zh-CN"/>
        </w:rPr>
        <w:br w:type="page"/>
      </w:r>
      <w:r>
        <w:rPr>
          <w:rFonts w:hint="eastAsia" w:ascii="Times New Roman" w:hAnsi="Times New Roman"/>
          <w:b/>
          <w:bCs/>
          <w:color w:val="auto"/>
          <w:sz w:val="24"/>
          <w:szCs w:val="32"/>
          <w:highlight w:val="none"/>
          <w:lang w:val="zh-CN" w:bidi="zh-CN"/>
        </w:rPr>
        <w:t>七、技术证明资料</w:t>
      </w:r>
      <w:bookmarkEnd w:id="526"/>
    </w:p>
    <w:p w14:paraId="40417127">
      <w:pPr>
        <w:spacing w:line="360" w:lineRule="auto"/>
        <w:ind w:firstLine="1132" w:firstLineChars="472"/>
        <w:jc w:val="left"/>
        <w:rPr>
          <w:rFonts w:ascii="Times New Roman" w:hAnsi="Times New Roman"/>
          <w:color w:val="auto"/>
          <w:sz w:val="24"/>
          <w:szCs w:val="24"/>
          <w:highlight w:val="none"/>
          <w:shd w:val="clear" w:color="auto" w:fill="FFFFFF"/>
          <w:lang w:bidi="ar"/>
        </w:rPr>
      </w:pPr>
    </w:p>
    <w:p w14:paraId="0184C267">
      <w:pPr>
        <w:spacing w:line="360" w:lineRule="auto"/>
        <w:jc w:val="center"/>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（投标供应商根据招标文件评审细则，自行编拟）</w:t>
      </w:r>
    </w:p>
    <w:p w14:paraId="1AC9233F">
      <w:pPr>
        <w:spacing w:line="276" w:lineRule="auto"/>
        <w:ind w:firstLine="436" w:firstLineChars="182"/>
        <w:jc w:val="left"/>
        <w:rPr>
          <w:rFonts w:ascii="Times New Roman" w:hAnsi="Times New Roman"/>
          <w:color w:val="auto"/>
          <w:sz w:val="24"/>
          <w:szCs w:val="24"/>
          <w:highlight w:val="none"/>
          <w:lang w:val="zh-CN" w:bidi="zh-CN"/>
        </w:rPr>
      </w:pPr>
      <w:r>
        <w:rPr>
          <w:rFonts w:hint="eastAsia" w:ascii="Times New Roman" w:hAnsi="Times New Roman"/>
          <w:color w:val="auto"/>
          <w:sz w:val="24"/>
          <w:szCs w:val="24"/>
          <w:highlight w:val="none"/>
          <w:lang w:val="zh-CN" w:bidi="zh-CN"/>
        </w:rPr>
        <w:t>注：</w:t>
      </w:r>
    </w:p>
    <w:p w14:paraId="34FE9352">
      <w:pPr>
        <w:spacing w:line="276" w:lineRule="auto"/>
        <w:ind w:firstLine="436" w:firstLineChars="182"/>
        <w:jc w:val="left"/>
        <w:rPr>
          <w:rFonts w:ascii="Times New Roman" w:hAnsi="Times New Roman"/>
          <w:color w:val="auto"/>
          <w:sz w:val="24"/>
          <w:szCs w:val="24"/>
          <w:highlight w:val="none"/>
          <w:lang w:val="zh-CN" w:bidi="zh-CN"/>
        </w:rPr>
      </w:pPr>
      <w:r>
        <w:rPr>
          <w:rFonts w:ascii="Times New Roman" w:hAnsi="Times New Roman"/>
          <w:color w:val="auto"/>
          <w:sz w:val="24"/>
          <w:szCs w:val="24"/>
          <w:highlight w:val="none"/>
          <w:lang w:val="zh-CN" w:bidi="zh-CN"/>
        </w:rPr>
        <w:t>1.</w:t>
      </w:r>
      <w:r>
        <w:rPr>
          <w:rFonts w:hint="eastAsia" w:ascii="Times New Roman" w:hAnsi="Times New Roman"/>
          <w:color w:val="auto"/>
          <w:sz w:val="24"/>
          <w:szCs w:val="24"/>
          <w:highlight w:val="none"/>
          <w:lang w:val="zh-CN" w:bidi="zh-CN"/>
        </w:rPr>
        <w:t>投标供应商根据项目需求，自行提供技术证明资料。</w:t>
      </w:r>
    </w:p>
    <w:p w14:paraId="4A6AFDA1">
      <w:pPr>
        <w:spacing w:line="517" w:lineRule="exact"/>
        <w:ind w:left="277" w:hanging="277" w:hangingChars="115"/>
        <w:jc w:val="center"/>
        <w:outlineLvl w:val="1"/>
        <w:rPr>
          <w:rFonts w:ascii="Times New Roman" w:hAnsi="Times New Roman"/>
          <w:b/>
          <w:bCs/>
          <w:color w:val="auto"/>
          <w:sz w:val="24"/>
          <w:szCs w:val="32"/>
          <w:highlight w:val="none"/>
          <w:lang w:val="zh-CN" w:bidi="zh-CN"/>
        </w:rPr>
      </w:pPr>
      <w:r>
        <w:rPr>
          <w:rFonts w:ascii="Times New Roman" w:hAnsi="Times New Roman"/>
          <w:b/>
          <w:bCs/>
          <w:color w:val="auto"/>
          <w:sz w:val="24"/>
          <w:szCs w:val="32"/>
          <w:highlight w:val="none"/>
          <w:lang w:val="zh-CN" w:bidi="zh-CN"/>
        </w:rPr>
        <w:br w:type="page"/>
      </w:r>
      <w:bookmarkStart w:id="527" w:name="_Toc176358393"/>
      <w:r>
        <w:rPr>
          <w:rFonts w:hint="eastAsia" w:ascii="Times New Roman" w:hAnsi="Times New Roman"/>
          <w:b/>
          <w:bCs/>
          <w:color w:val="auto"/>
          <w:sz w:val="24"/>
          <w:szCs w:val="32"/>
          <w:highlight w:val="none"/>
          <w:lang w:val="zh-CN" w:bidi="zh-CN"/>
        </w:rPr>
        <w:t>八、技术方案</w:t>
      </w:r>
      <w:bookmarkEnd w:id="527"/>
    </w:p>
    <w:p w14:paraId="1F7C44B9">
      <w:pPr>
        <w:spacing w:line="360" w:lineRule="auto"/>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（投标供应商根据招标文件评审细则，自行编拟。）</w:t>
      </w:r>
    </w:p>
    <w:p w14:paraId="2F89550C">
      <w:pPr>
        <w:spacing w:line="360" w:lineRule="auto"/>
        <w:ind w:firstLine="480" w:firstLineChars="200"/>
        <w:jc w:val="left"/>
        <w:rPr>
          <w:rFonts w:ascii="Times New Roman" w:hAnsi="Times New Roman"/>
          <w:color w:val="auto"/>
          <w:sz w:val="24"/>
          <w:szCs w:val="24"/>
          <w:highlight w:val="none"/>
          <w:lang w:bidi="ar"/>
        </w:rPr>
      </w:pPr>
    </w:p>
    <w:p w14:paraId="0A24F933">
      <w:pPr>
        <w:spacing w:line="517" w:lineRule="exact"/>
        <w:ind w:left="277" w:hanging="277" w:hangingChars="115"/>
        <w:jc w:val="center"/>
        <w:outlineLvl w:val="1"/>
        <w:rPr>
          <w:rFonts w:ascii="Times New Roman" w:hAnsi="Times New Roman"/>
          <w:b/>
          <w:bCs/>
          <w:color w:val="auto"/>
          <w:sz w:val="24"/>
          <w:szCs w:val="32"/>
          <w:highlight w:val="none"/>
          <w:lang w:val="zh-CN" w:bidi="zh-CN"/>
        </w:rPr>
      </w:pPr>
      <w:r>
        <w:rPr>
          <w:rFonts w:ascii="Times New Roman" w:hAnsi="Times New Roman"/>
          <w:b/>
          <w:bCs/>
          <w:color w:val="auto"/>
          <w:sz w:val="24"/>
          <w:szCs w:val="32"/>
          <w:highlight w:val="none"/>
          <w:lang w:val="zh-CN" w:bidi="zh-CN"/>
        </w:rPr>
        <w:br w:type="page"/>
      </w:r>
      <w:bookmarkStart w:id="528" w:name="_Toc176358395"/>
      <w:r>
        <w:rPr>
          <w:rFonts w:hint="eastAsia" w:ascii="Times New Roman" w:hAnsi="Times New Roman"/>
          <w:b/>
          <w:bCs/>
          <w:color w:val="auto"/>
          <w:sz w:val="24"/>
          <w:szCs w:val="32"/>
          <w:highlight w:val="none"/>
          <w:lang w:bidi="zh-CN"/>
        </w:rPr>
        <w:t>九</w:t>
      </w:r>
      <w:r>
        <w:rPr>
          <w:rFonts w:hint="eastAsia" w:ascii="Times New Roman" w:hAnsi="Times New Roman"/>
          <w:b/>
          <w:bCs/>
          <w:color w:val="auto"/>
          <w:sz w:val="24"/>
          <w:szCs w:val="32"/>
          <w:highlight w:val="none"/>
          <w:lang w:val="zh-CN" w:bidi="zh-CN"/>
        </w:rPr>
        <w:t>、投标供应商认为需提供的其他资料</w:t>
      </w:r>
      <w:bookmarkEnd w:id="528"/>
    </w:p>
    <w:p w14:paraId="27A2A01E">
      <w:pPr>
        <w:spacing w:line="360" w:lineRule="auto"/>
        <w:ind w:firstLine="562"/>
        <w:rPr>
          <w:rFonts w:ascii="Times New Roman" w:hAnsi="Times New Roman"/>
          <w:b/>
          <w:color w:val="auto"/>
          <w:sz w:val="24"/>
          <w:szCs w:val="24"/>
          <w:highlight w:val="none"/>
        </w:rPr>
      </w:pPr>
      <w:r>
        <w:rPr>
          <w:rFonts w:hint="eastAsia" w:ascii="Times New Roman" w:hAnsi="Times New Roman"/>
          <w:b/>
          <w:color w:val="auto"/>
          <w:sz w:val="24"/>
          <w:szCs w:val="24"/>
          <w:highlight w:val="none"/>
        </w:rPr>
        <w:t>请各供应商根据招标文件，结合自身实际情况，补充其他认为有必要提供的材料，招标文件未提供格式的投标人可自拟格式。提交的其他证明材料或资料加盖投标人单位公章后应在此项下提交。</w:t>
      </w:r>
    </w:p>
    <w:p w14:paraId="32B84B3F">
      <w:pPr>
        <w:spacing w:line="360" w:lineRule="auto"/>
        <w:ind w:firstLine="482" w:firstLineChars="200"/>
        <w:rPr>
          <w:rFonts w:ascii="Times New Roman" w:hAnsi="Times New Roman"/>
          <w:b/>
          <w:color w:val="auto"/>
          <w:sz w:val="24"/>
          <w:szCs w:val="24"/>
          <w:highlight w:val="none"/>
        </w:rPr>
      </w:pPr>
      <w:r>
        <w:rPr>
          <w:rFonts w:hint="eastAsia" w:ascii="Times New Roman" w:hAnsi="Times New Roman"/>
          <w:b/>
          <w:color w:val="auto"/>
          <w:sz w:val="24"/>
          <w:szCs w:val="24"/>
          <w:highlight w:val="none"/>
        </w:rPr>
        <w:t>（如发现提供虚假材料的，按无效投标处理，并承担相关的法律责任！）</w:t>
      </w:r>
    </w:p>
    <w:p w14:paraId="11C57392">
      <w:pPr>
        <w:rPr>
          <w:rFonts w:ascii="Times New Roman" w:hAnsi="Times New Roman"/>
          <w:color w:val="auto"/>
          <w:kern w:val="0"/>
          <w:highlight w:val="none"/>
        </w:rPr>
      </w:pPr>
      <w:r>
        <w:rPr>
          <w:rFonts w:ascii="Times New Roman" w:hAnsi="Times New Roman"/>
          <w:color w:val="auto"/>
          <w:kern w:val="0"/>
          <w:highlight w:val="none"/>
        </w:rPr>
        <w:br w:type="page"/>
      </w:r>
    </w:p>
    <w:p w14:paraId="5FD483A1">
      <w:pPr>
        <w:rPr>
          <w:rFonts w:ascii="Times New Roman" w:hAnsi="Times New Roman"/>
          <w:color w:val="auto"/>
          <w:kern w:val="0"/>
          <w:highlight w:val="none"/>
        </w:rPr>
      </w:pPr>
      <w:r>
        <w:rPr>
          <w:rFonts w:hint="eastAsia" w:ascii="Times New Roman" w:hAnsi="Times New Roman"/>
          <w:color w:val="auto"/>
          <w:kern w:val="0"/>
          <w:highlight w:val="none"/>
        </w:rPr>
        <w:t>附件一：中小微企业声明函</w:t>
      </w:r>
    </w:p>
    <w:p w14:paraId="3C6EE99E">
      <w:pPr>
        <w:jc w:val="center"/>
        <w:rPr>
          <w:rFonts w:ascii="Times New Roman" w:hAnsi="Times New Roman"/>
          <w:color w:val="auto"/>
          <w:highlight w:val="none"/>
        </w:rPr>
      </w:pPr>
      <w:r>
        <w:rPr>
          <w:rFonts w:hint="eastAsia" w:ascii="Times New Roman" w:hAnsi="Times New Roman"/>
          <w:color w:val="auto"/>
          <w:highlight w:val="none"/>
        </w:rPr>
        <w:t>（供应商属于中小企业的填写，不属于的无需填写此项内容）</w:t>
      </w:r>
    </w:p>
    <w:p w14:paraId="1DABD958">
      <w:pPr>
        <w:ind w:firstLine="743" w:firstLineChars="354"/>
        <w:jc w:val="center"/>
        <w:rPr>
          <w:rFonts w:ascii="Times New Roman" w:hAnsi="Times New Roman"/>
          <w:color w:val="auto"/>
          <w:highlight w:val="none"/>
        </w:rPr>
      </w:pPr>
      <w:r>
        <w:rPr>
          <w:rFonts w:hint="eastAsia" w:ascii="Times New Roman" w:hAnsi="Times New Roman"/>
          <w:color w:val="auto"/>
          <w:highlight w:val="none"/>
        </w:rPr>
        <w:t>中小企业声明函（货物）</w:t>
      </w:r>
    </w:p>
    <w:p w14:paraId="65BB4CE4">
      <w:pPr>
        <w:ind w:firstLine="743" w:firstLineChars="354"/>
        <w:rPr>
          <w:rFonts w:ascii="Times New Roman" w:hAnsi="Times New Roman"/>
          <w:color w:val="auto"/>
          <w:highlight w:val="none"/>
        </w:rPr>
      </w:pPr>
      <w:r>
        <w:rPr>
          <w:rFonts w:hint="eastAsia" w:ascii="Times New Roman" w:hAnsi="Times New Roman"/>
          <w:color w:val="auto"/>
          <w:highlight w:val="none"/>
        </w:rPr>
        <w:t>本公司（联合体）郑重声明，根据《政府采购促进中小企业发展管理办法》（财库﹝</w:t>
      </w:r>
      <w:r>
        <w:rPr>
          <w:rFonts w:ascii="Times New Roman" w:hAnsi="Times New Roman"/>
          <w:color w:val="auto"/>
          <w:highlight w:val="none"/>
        </w:rPr>
        <w:t>2020</w:t>
      </w:r>
      <w:r>
        <w:rPr>
          <w:rFonts w:hint="eastAsia" w:ascii="Times New Roman" w:hAnsi="Times New Roman"/>
          <w:color w:val="auto"/>
          <w:highlight w:val="none"/>
        </w:rPr>
        <w:t>﹞</w:t>
      </w:r>
      <w:r>
        <w:rPr>
          <w:rFonts w:ascii="Times New Roman" w:hAnsi="Times New Roman"/>
          <w:color w:val="auto"/>
          <w:highlight w:val="none"/>
        </w:rPr>
        <w:t xml:space="preserve">46 </w:t>
      </w:r>
      <w:r>
        <w:rPr>
          <w:rFonts w:hint="eastAsia" w:ascii="Times New Roman" w:hAnsi="Times New Roman"/>
          <w:color w:val="auto"/>
          <w:highlight w:val="none"/>
        </w:rPr>
        <w:t>号）的规定，本公司（联合体）参加</w:t>
      </w:r>
      <w:r>
        <w:rPr>
          <w:rFonts w:ascii="Times New Roman" w:hAnsi="Times New Roman"/>
          <w:color w:val="auto"/>
          <w:highlight w:val="none"/>
          <w:u w:val="single"/>
        </w:rPr>
        <w:t xml:space="preserve"> </w:t>
      </w:r>
      <w:r>
        <w:rPr>
          <w:rFonts w:hint="eastAsia" w:ascii="Times New Roman" w:hAnsi="Times New Roman"/>
          <w:color w:val="auto"/>
          <w:highlight w:val="none"/>
          <w:u w:val="single"/>
        </w:rPr>
        <w:t>（单位名称）</w:t>
      </w:r>
      <w:r>
        <w:rPr>
          <w:rFonts w:ascii="Times New Roman" w:hAnsi="Times New Roman"/>
          <w:color w:val="auto"/>
          <w:highlight w:val="none"/>
          <w:u w:val="single"/>
        </w:rPr>
        <w:t xml:space="preserve"> </w:t>
      </w:r>
      <w:r>
        <w:rPr>
          <w:rFonts w:hint="eastAsia" w:ascii="Times New Roman" w:hAnsi="Times New Roman"/>
          <w:color w:val="auto"/>
          <w:highlight w:val="none"/>
        </w:rPr>
        <w:t>的</w:t>
      </w:r>
      <w:r>
        <w:rPr>
          <w:rFonts w:ascii="Times New Roman" w:hAnsi="Times New Roman"/>
          <w:color w:val="auto"/>
          <w:highlight w:val="none"/>
          <w:u w:val="single"/>
        </w:rPr>
        <w:t xml:space="preserve"> </w:t>
      </w:r>
      <w:r>
        <w:rPr>
          <w:rFonts w:hint="eastAsia" w:ascii="Times New Roman" w:hAnsi="Times New Roman"/>
          <w:color w:val="auto"/>
          <w:highlight w:val="none"/>
          <w:u w:val="single"/>
        </w:rPr>
        <w:t>（项目名称）</w:t>
      </w:r>
      <w:r>
        <w:rPr>
          <w:rFonts w:ascii="Times New Roman" w:hAnsi="Times New Roman"/>
          <w:color w:val="auto"/>
          <w:highlight w:val="none"/>
          <w:u w:val="single"/>
        </w:rPr>
        <w:t xml:space="preserve">   </w:t>
      </w:r>
      <w:r>
        <w:rPr>
          <w:rFonts w:hint="eastAsia" w:ascii="Times New Roman" w:hAnsi="Times New Roman"/>
          <w:color w:val="auto"/>
          <w:highlight w:val="none"/>
        </w:rPr>
        <w:t>标段采购活动，提供的货物全部由符合政策要求的中小企业制造。相关企业（含联合体中的中小企业、签订分包意向协议的中小企业）的具体情况如下：</w:t>
      </w:r>
    </w:p>
    <w:p w14:paraId="440C9033">
      <w:pPr>
        <w:ind w:firstLine="743" w:firstLineChars="354"/>
        <w:rPr>
          <w:rFonts w:ascii="Times New Roman" w:hAnsi="Times New Roman"/>
          <w:color w:val="auto"/>
          <w:highlight w:val="none"/>
        </w:rPr>
      </w:pPr>
      <w:r>
        <w:rPr>
          <w:rFonts w:ascii="Times New Roman" w:hAnsi="Times New Roman"/>
          <w:color w:val="auto"/>
          <w:highlight w:val="none"/>
        </w:rPr>
        <w:t>1.</w:t>
      </w:r>
      <w:r>
        <w:rPr>
          <w:rFonts w:ascii="Times New Roman" w:hAnsi="Times New Roman"/>
          <w:color w:val="auto"/>
          <w:highlight w:val="none"/>
          <w:u w:val="single"/>
        </w:rPr>
        <w:t xml:space="preserve"> </w:t>
      </w:r>
      <w:r>
        <w:rPr>
          <w:rFonts w:hint="eastAsia" w:ascii="Times New Roman" w:hAnsi="Times New Roman"/>
          <w:color w:val="auto"/>
          <w:highlight w:val="none"/>
          <w:u w:val="single"/>
        </w:rPr>
        <w:t>（标的名称）</w:t>
      </w:r>
      <w:r>
        <w:rPr>
          <w:rFonts w:ascii="Times New Roman" w:hAnsi="Times New Roman"/>
          <w:color w:val="auto"/>
          <w:highlight w:val="none"/>
        </w:rPr>
        <w:t xml:space="preserve"> </w:t>
      </w:r>
      <w:r>
        <w:rPr>
          <w:rFonts w:hint="eastAsia" w:ascii="Times New Roman" w:hAnsi="Times New Roman"/>
          <w:color w:val="auto"/>
          <w:highlight w:val="none"/>
        </w:rPr>
        <w:t>，属于</w:t>
      </w:r>
      <w:r>
        <w:rPr>
          <w:rFonts w:ascii="Times New Roman" w:hAnsi="Times New Roman"/>
          <w:color w:val="auto"/>
          <w:highlight w:val="none"/>
          <w:u w:val="single"/>
        </w:rPr>
        <w:t xml:space="preserve"> </w:t>
      </w:r>
      <w:r>
        <w:rPr>
          <w:rFonts w:hint="eastAsia" w:ascii="Times New Roman" w:hAnsi="Times New Roman"/>
          <w:color w:val="auto"/>
          <w:highlight w:val="none"/>
          <w:u w:val="single"/>
        </w:rPr>
        <w:t>（采购文件中明确的所属行业）</w:t>
      </w:r>
      <w:r>
        <w:rPr>
          <w:rFonts w:hint="eastAsia" w:ascii="Times New Roman" w:hAnsi="Times New Roman"/>
          <w:color w:val="auto"/>
          <w:highlight w:val="none"/>
        </w:rPr>
        <w:t>行业</w:t>
      </w:r>
      <w:r>
        <w:rPr>
          <w:rFonts w:ascii="Times New Roman" w:hAnsi="Times New Roman"/>
          <w:color w:val="auto"/>
          <w:highlight w:val="none"/>
        </w:rPr>
        <w:t xml:space="preserve"> </w:t>
      </w:r>
      <w:r>
        <w:rPr>
          <w:rFonts w:hint="eastAsia" w:ascii="Times New Roman" w:hAnsi="Times New Roman"/>
          <w:color w:val="auto"/>
          <w:highlight w:val="none"/>
        </w:rPr>
        <w:t>；制造商为</w:t>
      </w:r>
      <w:r>
        <w:rPr>
          <w:rFonts w:ascii="Times New Roman" w:hAnsi="Times New Roman"/>
          <w:color w:val="auto"/>
          <w:highlight w:val="none"/>
        </w:rPr>
        <w:t xml:space="preserve"> </w:t>
      </w:r>
      <w:r>
        <w:rPr>
          <w:rFonts w:hint="eastAsia" w:ascii="Times New Roman" w:hAnsi="Times New Roman"/>
          <w:color w:val="auto"/>
          <w:highlight w:val="none"/>
        </w:rPr>
        <w:t>（企业名称），从业人员</w:t>
      </w:r>
      <w:r>
        <w:rPr>
          <w:rFonts w:ascii="Times New Roman" w:hAnsi="Times New Roman"/>
          <w:color w:val="auto"/>
          <w:highlight w:val="none"/>
          <w:u w:val="single"/>
        </w:rPr>
        <w:t xml:space="preserve">   </w:t>
      </w:r>
      <w:r>
        <w:rPr>
          <w:rFonts w:hint="eastAsia" w:ascii="Times New Roman" w:hAnsi="Times New Roman"/>
          <w:color w:val="auto"/>
          <w:highlight w:val="none"/>
        </w:rPr>
        <w:t>人，营业收入为</w:t>
      </w:r>
      <w:r>
        <w:rPr>
          <w:rFonts w:ascii="Times New Roman" w:hAnsi="Times New Roman"/>
          <w:color w:val="auto"/>
          <w:highlight w:val="none"/>
          <w:u w:val="single"/>
        </w:rPr>
        <w:t xml:space="preserve">    </w:t>
      </w:r>
      <w:r>
        <w:rPr>
          <w:rFonts w:hint="eastAsia" w:ascii="Times New Roman" w:hAnsi="Times New Roman"/>
          <w:color w:val="auto"/>
          <w:highlight w:val="none"/>
        </w:rPr>
        <w:t>万元，资产总额为</w:t>
      </w:r>
      <w:r>
        <w:rPr>
          <w:rFonts w:ascii="Times New Roman" w:hAnsi="Times New Roman"/>
          <w:color w:val="auto"/>
          <w:highlight w:val="none"/>
          <w:u w:val="single"/>
        </w:rPr>
        <w:t xml:space="preserve">   </w:t>
      </w:r>
      <w:r>
        <w:rPr>
          <w:rFonts w:hint="eastAsia" w:ascii="Times New Roman" w:hAnsi="Times New Roman"/>
          <w:color w:val="auto"/>
          <w:highlight w:val="none"/>
        </w:rPr>
        <w:t>万元，属于</w:t>
      </w:r>
      <w:r>
        <w:rPr>
          <w:rFonts w:ascii="Times New Roman" w:hAnsi="Times New Roman"/>
          <w:color w:val="auto"/>
          <w:highlight w:val="none"/>
          <w:u w:val="single"/>
        </w:rPr>
        <w:t xml:space="preserve"> </w:t>
      </w:r>
      <w:r>
        <w:rPr>
          <w:rFonts w:hint="eastAsia" w:ascii="Times New Roman" w:hAnsi="Times New Roman"/>
          <w:color w:val="auto"/>
          <w:highlight w:val="none"/>
          <w:u w:val="single"/>
        </w:rPr>
        <w:t>（中型企业、小型企业、微型企业）</w:t>
      </w:r>
      <w:r>
        <w:rPr>
          <w:rFonts w:ascii="Times New Roman" w:hAnsi="Times New Roman"/>
          <w:color w:val="auto"/>
          <w:highlight w:val="none"/>
        </w:rPr>
        <w:t xml:space="preserve"> </w:t>
      </w:r>
      <w:r>
        <w:rPr>
          <w:rFonts w:hint="eastAsia" w:ascii="Times New Roman" w:hAnsi="Times New Roman"/>
          <w:color w:val="auto"/>
          <w:highlight w:val="none"/>
        </w:rPr>
        <w:t>；</w:t>
      </w:r>
    </w:p>
    <w:p w14:paraId="6C727C3A">
      <w:pPr>
        <w:ind w:firstLine="743" w:firstLineChars="354"/>
        <w:rPr>
          <w:rFonts w:ascii="Times New Roman" w:hAnsi="Times New Roman"/>
          <w:color w:val="auto"/>
          <w:highlight w:val="none"/>
        </w:rPr>
      </w:pPr>
      <w:r>
        <w:rPr>
          <w:rFonts w:ascii="Times New Roman" w:hAnsi="Times New Roman"/>
          <w:color w:val="auto"/>
          <w:highlight w:val="none"/>
        </w:rPr>
        <w:t>2.</w:t>
      </w:r>
      <w:r>
        <w:rPr>
          <w:rFonts w:ascii="Times New Roman" w:hAnsi="Times New Roman"/>
          <w:color w:val="auto"/>
          <w:highlight w:val="none"/>
          <w:u w:val="single"/>
        </w:rPr>
        <w:t xml:space="preserve"> </w:t>
      </w:r>
      <w:r>
        <w:rPr>
          <w:rFonts w:hint="eastAsia" w:ascii="Times New Roman" w:hAnsi="Times New Roman"/>
          <w:color w:val="auto"/>
          <w:highlight w:val="none"/>
          <w:u w:val="single"/>
        </w:rPr>
        <w:t>（标的名称）</w:t>
      </w:r>
      <w:r>
        <w:rPr>
          <w:rFonts w:ascii="Times New Roman" w:hAnsi="Times New Roman"/>
          <w:color w:val="auto"/>
          <w:highlight w:val="none"/>
          <w:u w:val="single"/>
        </w:rPr>
        <w:t xml:space="preserve"> </w:t>
      </w:r>
      <w:r>
        <w:rPr>
          <w:rFonts w:hint="eastAsia" w:ascii="Times New Roman" w:hAnsi="Times New Roman"/>
          <w:color w:val="auto"/>
          <w:highlight w:val="none"/>
        </w:rPr>
        <w:t>，属于</w:t>
      </w:r>
      <w:r>
        <w:rPr>
          <w:rFonts w:ascii="Times New Roman" w:hAnsi="Times New Roman"/>
          <w:color w:val="auto"/>
          <w:highlight w:val="none"/>
          <w:u w:val="single"/>
        </w:rPr>
        <w:t xml:space="preserve"> </w:t>
      </w:r>
      <w:r>
        <w:rPr>
          <w:rFonts w:hint="eastAsia" w:ascii="Times New Roman" w:hAnsi="Times New Roman"/>
          <w:color w:val="auto"/>
          <w:highlight w:val="none"/>
          <w:u w:val="single"/>
        </w:rPr>
        <w:t>（采购文件中明确的所属行业）</w:t>
      </w:r>
      <w:r>
        <w:rPr>
          <w:rFonts w:hint="eastAsia" w:ascii="Times New Roman" w:hAnsi="Times New Roman"/>
          <w:color w:val="auto"/>
          <w:highlight w:val="none"/>
        </w:rPr>
        <w:t>行业</w:t>
      </w:r>
      <w:r>
        <w:rPr>
          <w:rFonts w:ascii="Times New Roman" w:hAnsi="Times New Roman"/>
          <w:color w:val="auto"/>
          <w:highlight w:val="none"/>
        </w:rPr>
        <w:t xml:space="preserve"> </w:t>
      </w:r>
      <w:r>
        <w:rPr>
          <w:rFonts w:hint="eastAsia" w:ascii="Times New Roman" w:hAnsi="Times New Roman"/>
          <w:color w:val="auto"/>
          <w:highlight w:val="none"/>
        </w:rPr>
        <w:t>；制造商为</w:t>
      </w:r>
      <w:r>
        <w:rPr>
          <w:rFonts w:ascii="Times New Roman" w:hAnsi="Times New Roman"/>
          <w:color w:val="auto"/>
          <w:highlight w:val="none"/>
        </w:rPr>
        <w:t xml:space="preserve"> </w:t>
      </w:r>
      <w:r>
        <w:rPr>
          <w:rFonts w:hint="eastAsia" w:ascii="Times New Roman" w:hAnsi="Times New Roman"/>
          <w:color w:val="auto"/>
          <w:highlight w:val="none"/>
        </w:rPr>
        <w:t>（企业名称）</w:t>
      </w:r>
      <w:r>
        <w:rPr>
          <w:rFonts w:ascii="Times New Roman" w:hAnsi="Times New Roman"/>
          <w:color w:val="auto"/>
          <w:highlight w:val="none"/>
        </w:rPr>
        <w:t xml:space="preserve"> </w:t>
      </w:r>
      <w:r>
        <w:rPr>
          <w:rFonts w:hint="eastAsia" w:ascii="Times New Roman" w:hAnsi="Times New Roman"/>
          <w:color w:val="auto"/>
          <w:highlight w:val="none"/>
        </w:rPr>
        <w:t>，从业人员</w:t>
      </w:r>
      <w:r>
        <w:rPr>
          <w:rFonts w:ascii="Times New Roman" w:hAnsi="Times New Roman"/>
          <w:color w:val="auto"/>
          <w:highlight w:val="none"/>
          <w:u w:val="single"/>
        </w:rPr>
        <w:t xml:space="preserve">   </w:t>
      </w:r>
      <w:r>
        <w:rPr>
          <w:rFonts w:hint="eastAsia" w:ascii="Times New Roman" w:hAnsi="Times New Roman"/>
          <w:color w:val="auto"/>
          <w:highlight w:val="none"/>
        </w:rPr>
        <w:t>人，营业收入为</w:t>
      </w:r>
      <w:r>
        <w:rPr>
          <w:rFonts w:ascii="Times New Roman" w:hAnsi="Times New Roman"/>
          <w:color w:val="auto"/>
          <w:highlight w:val="none"/>
          <w:u w:val="single"/>
        </w:rPr>
        <w:t xml:space="preserve">    </w:t>
      </w:r>
      <w:r>
        <w:rPr>
          <w:rFonts w:hint="eastAsia" w:ascii="Times New Roman" w:hAnsi="Times New Roman"/>
          <w:color w:val="auto"/>
          <w:highlight w:val="none"/>
        </w:rPr>
        <w:t>万元，资产总额为</w:t>
      </w:r>
      <w:r>
        <w:rPr>
          <w:rFonts w:ascii="Times New Roman" w:hAnsi="Times New Roman"/>
          <w:color w:val="auto"/>
          <w:highlight w:val="none"/>
          <w:u w:val="single"/>
        </w:rPr>
        <w:t xml:space="preserve">     </w:t>
      </w:r>
      <w:r>
        <w:rPr>
          <w:rFonts w:hint="eastAsia" w:ascii="Times New Roman" w:hAnsi="Times New Roman"/>
          <w:color w:val="auto"/>
          <w:highlight w:val="none"/>
        </w:rPr>
        <w:t>万元，属于</w:t>
      </w:r>
      <w:r>
        <w:rPr>
          <w:rFonts w:ascii="Times New Roman" w:hAnsi="Times New Roman"/>
          <w:color w:val="auto"/>
          <w:highlight w:val="none"/>
          <w:u w:val="single"/>
        </w:rPr>
        <w:t xml:space="preserve"> </w:t>
      </w:r>
      <w:r>
        <w:rPr>
          <w:rFonts w:hint="eastAsia" w:ascii="Times New Roman" w:hAnsi="Times New Roman"/>
          <w:color w:val="auto"/>
          <w:highlight w:val="none"/>
          <w:u w:val="single"/>
        </w:rPr>
        <w:t>（中型企业、小型企业、微型企业）</w:t>
      </w:r>
      <w:r>
        <w:rPr>
          <w:rFonts w:ascii="Times New Roman" w:hAnsi="Times New Roman"/>
          <w:color w:val="auto"/>
          <w:highlight w:val="none"/>
          <w:u w:val="single"/>
        </w:rPr>
        <w:t xml:space="preserve"> </w:t>
      </w:r>
      <w:r>
        <w:rPr>
          <w:rFonts w:hint="eastAsia" w:ascii="Times New Roman" w:hAnsi="Times New Roman"/>
          <w:color w:val="auto"/>
          <w:highlight w:val="none"/>
        </w:rPr>
        <w:t>；</w:t>
      </w:r>
    </w:p>
    <w:p w14:paraId="59DA45EA">
      <w:pPr>
        <w:ind w:firstLine="743" w:firstLineChars="354"/>
        <w:rPr>
          <w:rFonts w:ascii="Times New Roman" w:hAnsi="Times New Roman"/>
          <w:color w:val="auto"/>
          <w:highlight w:val="none"/>
        </w:rPr>
      </w:pPr>
      <w:r>
        <w:rPr>
          <w:rFonts w:hint="eastAsia" w:ascii="Times New Roman" w:hAnsi="Times New Roman"/>
          <w:color w:val="auto"/>
          <w:highlight w:val="none"/>
        </w:rPr>
        <w:t>……</w:t>
      </w:r>
    </w:p>
    <w:p w14:paraId="24106334">
      <w:pPr>
        <w:ind w:firstLine="743" w:firstLineChars="354"/>
        <w:rPr>
          <w:rFonts w:ascii="Times New Roman" w:hAnsi="Times New Roman"/>
          <w:color w:val="auto"/>
          <w:highlight w:val="none"/>
        </w:rPr>
      </w:pPr>
      <w:r>
        <w:rPr>
          <w:rFonts w:hint="eastAsia" w:ascii="Times New Roman" w:hAnsi="Times New Roman"/>
          <w:color w:val="auto"/>
          <w:highlight w:val="none"/>
        </w:rPr>
        <w:t>以上企业，不属于大企业的分支机构，不存在控股股东为大企业的情形，也不存在与大企业的负责人为同一人的情形。</w:t>
      </w:r>
    </w:p>
    <w:p w14:paraId="334B0E37">
      <w:pPr>
        <w:ind w:firstLine="743" w:firstLineChars="354"/>
        <w:rPr>
          <w:rFonts w:ascii="Times New Roman" w:hAnsi="Times New Roman"/>
          <w:color w:val="auto"/>
          <w:highlight w:val="none"/>
        </w:rPr>
      </w:pPr>
      <w:r>
        <w:rPr>
          <w:rFonts w:hint="eastAsia" w:ascii="Times New Roman" w:hAnsi="Times New Roman"/>
          <w:color w:val="auto"/>
          <w:highlight w:val="none"/>
        </w:rPr>
        <w:t>本企业对上述声明内容的真实性负责。如有虚假，将依法承担相应责任。</w:t>
      </w:r>
    </w:p>
    <w:p w14:paraId="457B57D8">
      <w:pPr>
        <w:ind w:firstLine="4836" w:firstLineChars="2303"/>
        <w:rPr>
          <w:rFonts w:ascii="Times New Roman" w:hAnsi="Times New Roman"/>
          <w:color w:val="auto"/>
          <w:highlight w:val="none"/>
        </w:rPr>
      </w:pPr>
      <w:r>
        <w:rPr>
          <w:rFonts w:hint="eastAsia" w:ascii="Times New Roman" w:hAnsi="Times New Roman"/>
          <w:color w:val="auto"/>
          <w:highlight w:val="none"/>
        </w:rPr>
        <w:t>企业名称（盖单位公章）：</w:t>
      </w:r>
    </w:p>
    <w:p w14:paraId="47BD5217">
      <w:pPr>
        <w:ind w:firstLine="4836" w:firstLineChars="2303"/>
        <w:rPr>
          <w:rFonts w:ascii="Times New Roman" w:hAnsi="Times New Roman"/>
          <w:color w:val="auto"/>
          <w:highlight w:val="none"/>
        </w:rPr>
      </w:pPr>
      <w:r>
        <w:rPr>
          <w:rFonts w:hint="eastAsia" w:ascii="Times New Roman" w:hAnsi="Times New Roman"/>
          <w:color w:val="auto"/>
          <w:highlight w:val="none"/>
        </w:rPr>
        <w:t>日期：</w:t>
      </w:r>
      <w:r>
        <w:rPr>
          <w:rFonts w:ascii="Times New Roman" w:hAnsi="Times New Roman"/>
          <w:color w:val="auto"/>
          <w:highlight w:val="none"/>
        </w:rPr>
        <w:t xml:space="preserve">    </w:t>
      </w:r>
      <w:r>
        <w:rPr>
          <w:rFonts w:hint="eastAsia" w:ascii="Times New Roman" w:hAnsi="Times New Roman"/>
          <w:color w:val="auto"/>
          <w:highlight w:val="none"/>
        </w:rPr>
        <w:t>年</w:t>
      </w:r>
      <w:r>
        <w:rPr>
          <w:rFonts w:ascii="Times New Roman" w:hAnsi="Times New Roman"/>
          <w:color w:val="auto"/>
          <w:highlight w:val="none"/>
        </w:rPr>
        <w:t xml:space="preserve">   </w:t>
      </w:r>
      <w:r>
        <w:rPr>
          <w:rFonts w:hint="eastAsia" w:ascii="Times New Roman" w:hAnsi="Times New Roman"/>
          <w:color w:val="auto"/>
          <w:highlight w:val="none"/>
        </w:rPr>
        <w:t>月</w:t>
      </w:r>
      <w:r>
        <w:rPr>
          <w:rFonts w:ascii="Times New Roman" w:hAnsi="Times New Roman"/>
          <w:color w:val="auto"/>
          <w:highlight w:val="none"/>
        </w:rPr>
        <w:t xml:space="preserve">    </w:t>
      </w:r>
      <w:r>
        <w:rPr>
          <w:rFonts w:hint="eastAsia" w:ascii="Times New Roman" w:hAnsi="Times New Roman"/>
          <w:color w:val="auto"/>
          <w:highlight w:val="none"/>
        </w:rPr>
        <w:t>日</w:t>
      </w:r>
    </w:p>
    <w:p w14:paraId="22A34A04">
      <w:pPr>
        <w:rPr>
          <w:rFonts w:ascii="Times New Roman" w:hAnsi="Times New Roman"/>
          <w:color w:val="auto"/>
          <w:highlight w:val="none"/>
        </w:rPr>
      </w:pPr>
    </w:p>
    <w:p w14:paraId="6C866A20">
      <w:pPr>
        <w:ind w:firstLine="743" w:firstLineChars="354"/>
        <w:rPr>
          <w:rFonts w:ascii="Times New Roman" w:hAnsi="Times New Roman"/>
          <w:color w:val="auto"/>
          <w:highlight w:val="none"/>
        </w:rPr>
      </w:pPr>
      <w:r>
        <w:rPr>
          <w:rFonts w:hint="eastAsia" w:ascii="Times New Roman" w:hAnsi="Times New Roman"/>
          <w:color w:val="auto"/>
          <w:highlight w:val="none"/>
        </w:rPr>
        <w:t>注：</w:t>
      </w:r>
    </w:p>
    <w:p w14:paraId="37048D06">
      <w:pPr>
        <w:ind w:firstLine="743" w:firstLineChars="354"/>
        <w:rPr>
          <w:rFonts w:ascii="Times New Roman" w:hAnsi="Times New Roman"/>
          <w:color w:val="auto"/>
          <w:highlight w:val="none"/>
        </w:rPr>
      </w:pPr>
      <w:r>
        <w:rPr>
          <w:rFonts w:ascii="Times New Roman" w:hAnsi="Times New Roman"/>
          <w:color w:val="auto"/>
          <w:highlight w:val="none"/>
        </w:rPr>
        <w:t>1.</w:t>
      </w:r>
      <w:r>
        <w:rPr>
          <w:rFonts w:hint="eastAsia" w:ascii="Times New Roman" w:hAnsi="Times New Roman"/>
          <w:color w:val="auto"/>
          <w:highlight w:val="none"/>
        </w:rPr>
        <w:t>从业人员、营业收入、资产总额填报上一年度数据，无上一年度数据的新成立企业可不填报。</w:t>
      </w:r>
    </w:p>
    <w:p w14:paraId="2CF8DD1E">
      <w:pPr>
        <w:ind w:firstLine="743" w:firstLineChars="354"/>
        <w:rPr>
          <w:rFonts w:ascii="Times New Roman" w:hAnsi="Times New Roman"/>
          <w:color w:val="auto"/>
          <w:highlight w:val="none"/>
        </w:rPr>
      </w:pPr>
      <w:r>
        <w:rPr>
          <w:rFonts w:ascii="Times New Roman" w:hAnsi="Times New Roman"/>
          <w:color w:val="auto"/>
          <w:highlight w:val="none"/>
        </w:rPr>
        <w:t>2.</w:t>
      </w:r>
      <w:r>
        <w:rPr>
          <w:rFonts w:hint="eastAsia" w:ascii="Times New Roman" w:hAnsi="Times New Roman"/>
          <w:color w:val="auto"/>
          <w:highlight w:val="none"/>
        </w:rPr>
        <w:t>根据《政府采购促进中小企业发展管理办法》（财库﹝</w:t>
      </w:r>
      <w:r>
        <w:rPr>
          <w:rFonts w:ascii="Times New Roman" w:hAnsi="Times New Roman"/>
          <w:color w:val="auto"/>
          <w:highlight w:val="none"/>
        </w:rPr>
        <w:t>2020</w:t>
      </w:r>
      <w:r>
        <w:rPr>
          <w:rFonts w:hint="eastAsia" w:ascii="Times New Roman" w:hAnsi="Times New Roman"/>
          <w:color w:val="auto"/>
          <w:highlight w:val="none"/>
        </w:rPr>
        <w:t>﹞</w:t>
      </w:r>
      <w:r>
        <w:rPr>
          <w:rFonts w:ascii="Times New Roman" w:hAnsi="Times New Roman"/>
          <w:color w:val="auto"/>
          <w:highlight w:val="none"/>
        </w:rPr>
        <w:t>46</w:t>
      </w:r>
      <w:r>
        <w:rPr>
          <w:rFonts w:hint="eastAsia" w:ascii="Times New Roman" w:hAnsi="Times New Roman"/>
          <w:color w:val="auto"/>
          <w:highlight w:val="none"/>
        </w:rPr>
        <w:t>号）第四条的规定，在政府采购活动中，供应商提供的货物、工程或者服务符合下列情形的，享受本办法规定的中小企业扶持政策：</w:t>
      </w:r>
    </w:p>
    <w:p w14:paraId="6EECE77E">
      <w:pPr>
        <w:ind w:firstLine="743" w:firstLineChars="354"/>
        <w:rPr>
          <w:rFonts w:ascii="Times New Roman" w:hAnsi="Times New Roman"/>
          <w:color w:val="auto"/>
          <w:highlight w:val="none"/>
        </w:rPr>
      </w:pPr>
      <w:r>
        <w:rPr>
          <w:rFonts w:hint="eastAsia" w:ascii="Times New Roman" w:hAnsi="Times New Roman"/>
          <w:color w:val="auto"/>
          <w:highlight w:val="none"/>
        </w:rPr>
        <w:t>（一）在货物采购项目中，货物由中小企业制造，即货物由中小企业生产且使用该中小企业商号或者注册商标；</w:t>
      </w:r>
    </w:p>
    <w:p w14:paraId="74A1E076">
      <w:pPr>
        <w:ind w:firstLine="743" w:firstLineChars="354"/>
        <w:rPr>
          <w:rFonts w:ascii="Times New Roman" w:hAnsi="Times New Roman"/>
          <w:color w:val="auto"/>
          <w:highlight w:val="none"/>
        </w:rPr>
      </w:pPr>
      <w:r>
        <w:rPr>
          <w:rFonts w:hint="eastAsia" w:ascii="Times New Roman" w:hAnsi="Times New Roman"/>
          <w:color w:val="auto"/>
          <w:highlight w:val="none"/>
        </w:rPr>
        <w:t>（二）在工程采购项目中，工程由中小企业承建，即工程施工单位为中小企业；</w:t>
      </w:r>
    </w:p>
    <w:p w14:paraId="014479DD">
      <w:pPr>
        <w:ind w:firstLine="743" w:firstLineChars="354"/>
        <w:rPr>
          <w:rFonts w:ascii="Times New Roman" w:hAnsi="Times New Roman"/>
          <w:color w:val="auto"/>
          <w:highlight w:val="none"/>
        </w:rPr>
      </w:pPr>
      <w:r>
        <w:rPr>
          <w:rFonts w:hint="eastAsia" w:ascii="Times New Roman" w:hAnsi="Times New Roman"/>
          <w:color w:val="auto"/>
          <w:highlight w:val="none"/>
        </w:rPr>
        <w:t>（三）在服务采购项目中，服务由中小企业承接，即提供服务的人员为中小企业依照《中华人民共和国劳动合同法》订立劳动合同的从业人员。</w:t>
      </w:r>
    </w:p>
    <w:p w14:paraId="469BB2BE">
      <w:pPr>
        <w:ind w:firstLine="743" w:firstLineChars="354"/>
        <w:rPr>
          <w:rFonts w:ascii="Times New Roman" w:hAnsi="Times New Roman"/>
          <w:color w:val="auto"/>
          <w:highlight w:val="none"/>
        </w:rPr>
      </w:pPr>
      <w:r>
        <w:rPr>
          <w:rFonts w:hint="eastAsia" w:ascii="Times New Roman" w:hAnsi="Times New Roman"/>
          <w:color w:val="auto"/>
          <w:highlight w:val="none"/>
        </w:rPr>
        <w:t>在货物采购项目中，供应商提供的货物既有中小企业制造货物，也有大型企业制造货物的，不享受本办法规定的中小企业扶持政策。</w:t>
      </w:r>
    </w:p>
    <w:p w14:paraId="098618C0">
      <w:pPr>
        <w:ind w:firstLine="743" w:firstLineChars="354"/>
        <w:rPr>
          <w:rFonts w:ascii="Times New Roman" w:hAnsi="Times New Roman"/>
          <w:color w:val="auto"/>
          <w:highlight w:val="none"/>
        </w:rPr>
      </w:pPr>
      <w:r>
        <w:rPr>
          <w:rFonts w:hint="eastAsia" w:ascii="Times New Roman" w:hAnsi="Times New Roman"/>
          <w:color w:val="auto"/>
          <w:highlight w:val="none"/>
        </w:rPr>
        <w:t>以联合体形式参加政府采购活动，联合体各方均为中小企业的，联合体视同中小企业。其中，联合体各方均为小微企业的，联合体视同小微企业。</w:t>
      </w:r>
    </w:p>
    <w:p w14:paraId="646B0C6E">
      <w:pPr>
        <w:ind w:firstLine="743" w:firstLineChars="354"/>
        <w:rPr>
          <w:rFonts w:ascii="Times New Roman" w:hAnsi="Times New Roman"/>
          <w:color w:val="auto"/>
          <w:highlight w:val="none"/>
        </w:rPr>
      </w:pPr>
      <w:r>
        <w:rPr>
          <w:rFonts w:ascii="Times New Roman" w:hAnsi="Times New Roman"/>
          <w:color w:val="auto"/>
          <w:highlight w:val="none"/>
        </w:rPr>
        <w:t>3.</w:t>
      </w:r>
      <w:r>
        <w:rPr>
          <w:rFonts w:hint="eastAsia" w:ascii="Times New Roman" w:hAnsi="Times New Roman"/>
          <w:color w:val="auto"/>
          <w:highlight w:val="none"/>
        </w:rPr>
        <w:t>上述采购文件中明确的所属行业详见供应商须知前附表。</w:t>
      </w:r>
    </w:p>
    <w:p w14:paraId="6556A4BE">
      <w:pPr>
        <w:ind w:firstLine="743" w:firstLineChars="354"/>
        <w:rPr>
          <w:rFonts w:ascii="Times New Roman" w:hAnsi="Times New Roman"/>
          <w:color w:val="auto"/>
          <w:highlight w:val="none"/>
        </w:rPr>
      </w:pPr>
      <w:r>
        <w:rPr>
          <w:rFonts w:ascii="Times New Roman" w:hAnsi="Times New Roman"/>
          <w:color w:val="auto"/>
          <w:highlight w:val="none"/>
        </w:rPr>
        <w:t>4.</w:t>
      </w:r>
      <w:r>
        <w:rPr>
          <w:rFonts w:hint="eastAsia" w:ascii="Times New Roman" w:hAnsi="Times New Roman"/>
          <w:color w:val="auto"/>
          <w:highlight w:val="none"/>
        </w:rPr>
        <w:t>根据《政府采购促进中小企业发展管理办法》（财库﹝</w:t>
      </w:r>
      <w:r>
        <w:rPr>
          <w:rFonts w:ascii="Times New Roman" w:hAnsi="Times New Roman"/>
          <w:color w:val="auto"/>
          <w:highlight w:val="none"/>
        </w:rPr>
        <w:t>2020</w:t>
      </w:r>
      <w:r>
        <w:rPr>
          <w:rFonts w:hint="eastAsia" w:ascii="Times New Roman" w:hAnsi="Times New Roman"/>
          <w:color w:val="auto"/>
          <w:highlight w:val="none"/>
        </w:rPr>
        <w:t>﹞</w:t>
      </w:r>
      <w:r>
        <w:rPr>
          <w:rFonts w:ascii="Times New Roman" w:hAnsi="Times New Roman"/>
          <w:color w:val="auto"/>
          <w:highlight w:val="none"/>
        </w:rPr>
        <w:t>46</w:t>
      </w:r>
      <w:r>
        <w:rPr>
          <w:rFonts w:hint="eastAsia" w:ascii="Times New Roman" w:hAnsi="Times New Roman"/>
          <w:color w:val="auto"/>
          <w:highlight w:val="none"/>
        </w:rPr>
        <w:t>号）第十一条的规定，中小企业参加政府采购活动，应当出具本办法规定的《中小企业声明函》（附件</w:t>
      </w:r>
      <w:r>
        <w:rPr>
          <w:rFonts w:ascii="Times New Roman" w:hAnsi="Times New Roman"/>
          <w:color w:val="auto"/>
          <w:highlight w:val="none"/>
        </w:rPr>
        <w:t>1</w:t>
      </w:r>
      <w:r>
        <w:rPr>
          <w:rFonts w:hint="eastAsia" w:ascii="Times New Roman" w:hAnsi="Times New Roman"/>
          <w:color w:val="auto"/>
          <w:highlight w:val="none"/>
        </w:rPr>
        <w:t>），否则不得享受相关中小企业扶持政策。任何单位和个人不得要求供应商提供《中小企业声明函》之外的中小企业身份证明文件。</w:t>
      </w:r>
    </w:p>
    <w:p w14:paraId="6FA9CAB4">
      <w:pPr>
        <w:ind w:firstLine="743" w:firstLineChars="354"/>
        <w:rPr>
          <w:rFonts w:ascii="Times New Roman" w:hAnsi="Times New Roman"/>
          <w:color w:val="auto"/>
          <w:highlight w:val="none"/>
        </w:rPr>
      </w:pPr>
      <w:r>
        <w:rPr>
          <w:rFonts w:ascii="Times New Roman" w:hAnsi="Times New Roman"/>
          <w:color w:val="auto"/>
          <w:highlight w:val="none"/>
        </w:rPr>
        <w:t>5.</w:t>
      </w:r>
      <w:r>
        <w:rPr>
          <w:rFonts w:hint="eastAsia" w:ascii="Times New Roman" w:hAnsi="Times New Roman"/>
          <w:color w:val="auto"/>
          <w:highlight w:val="none"/>
        </w:rPr>
        <w:t>供应商须对《中小企业声明函》的真实性负责，如果存在虚假，将依照《中华人民共和国政府采购法》第七十七条第一款的规定，处以罚款、列入不良行为记录名单、在一至三年内禁止参加政府采购活动等非常严厉的处罚。</w:t>
      </w:r>
    </w:p>
    <w:p w14:paraId="0EB73794">
      <w:pPr>
        <w:ind w:firstLine="743" w:firstLineChars="354"/>
        <w:rPr>
          <w:rFonts w:ascii="Times New Roman" w:hAnsi="Times New Roman"/>
          <w:color w:val="auto"/>
          <w:highlight w:val="none"/>
        </w:rPr>
      </w:pPr>
      <w:r>
        <w:rPr>
          <w:rFonts w:ascii="Times New Roman" w:hAnsi="Times New Roman"/>
          <w:color w:val="auto"/>
          <w:highlight w:val="none"/>
        </w:rPr>
        <w:t>6.</w:t>
      </w:r>
      <w:r>
        <w:rPr>
          <w:rFonts w:hint="eastAsia" w:ascii="Times New Roman" w:hAnsi="Times New Roman"/>
          <w:color w:val="auto"/>
          <w:highlight w:val="none"/>
        </w:rPr>
        <w:t>采购标的涉及多个制造商的，投标人应从各制造商处获得充分、准确的信息。对相关制造商信息了解不充分，或者不能确定相关信息真实、准确的，不建议出具《中小企业声明函》。</w:t>
      </w:r>
    </w:p>
    <w:p w14:paraId="79F53225">
      <w:pPr>
        <w:ind w:firstLine="743" w:firstLineChars="354"/>
        <w:rPr>
          <w:rFonts w:ascii="Times New Roman" w:hAnsi="Times New Roman"/>
          <w:color w:val="auto"/>
          <w:highlight w:val="none"/>
        </w:rPr>
      </w:pPr>
      <w:r>
        <w:rPr>
          <w:rFonts w:ascii="Times New Roman" w:hAnsi="Times New Roman"/>
          <w:color w:val="auto"/>
          <w:highlight w:val="none"/>
        </w:rPr>
        <w:t>7.</w:t>
      </w:r>
      <w:r>
        <w:rPr>
          <w:rFonts w:hint="eastAsia" w:ascii="Times New Roman" w:hAnsi="Times New Roman"/>
          <w:color w:val="auto"/>
          <w:highlight w:val="none"/>
        </w:rPr>
        <w:t>供应商与大企业的负责人为同一人，或者与大企业存在直接控股、管理关系的不享受中小企业扶持政策。</w:t>
      </w:r>
    </w:p>
    <w:p w14:paraId="53C3D178">
      <w:pPr>
        <w:ind w:firstLine="743" w:firstLineChars="354"/>
        <w:rPr>
          <w:rFonts w:ascii="Times New Roman" w:hAnsi="Times New Roman"/>
          <w:color w:val="auto"/>
          <w:highlight w:val="none"/>
        </w:rPr>
      </w:pPr>
      <w:r>
        <w:rPr>
          <w:rFonts w:ascii="Times New Roman" w:hAnsi="Times New Roman"/>
          <w:color w:val="auto"/>
          <w:highlight w:val="none"/>
        </w:rPr>
        <w:t>8.</w:t>
      </w:r>
      <w:r>
        <w:rPr>
          <w:rFonts w:hint="eastAsia" w:ascii="Times New Roman" w:hAnsi="Times New Roman"/>
          <w:color w:val="auto"/>
          <w:highlight w:val="none"/>
        </w:rPr>
        <w:t>不填写或不提交本函的，视为不适用相关政策。</w:t>
      </w:r>
    </w:p>
    <w:p w14:paraId="7F196BC6">
      <w:pPr>
        <w:ind w:firstLine="743" w:firstLineChars="354"/>
        <w:rPr>
          <w:rFonts w:ascii="Times New Roman" w:hAnsi="Times New Roman"/>
          <w:color w:val="auto"/>
          <w:highlight w:val="none"/>
        </w:rPr>
      </w:pPr>
      <w:r>
        <w:rPr>
          <w:rFonts w:ascii="Times New Roman" w:hAnsi="Times New Roman"/>
          <w:color w:val="auto"/>
          <w:highlight w:val="none"/>
        </w:rPr>
        <w:t>9.</w:t>
      </w:r>
      <w:r>
        <w:rPr>
          <w:rFonts w:hint="eastAsia" w:ascii="Times New Roman" w:hAnsi="Times New Roman"/>
          <w:color w:val="auto"/>
          <w:highlight w:val="none"/>
        </w:rPr>
        <w:t>供应商填写前请认真阅读《政府采购促进中小企业发展管理办法》（财库﹝</w:t>
      </w:r>
      <w:r>
        <w:rPr>
          <w:rFonts w:ascii="Times New Roman" w:hAnsi="Times New Roman"/>
          <w:color w:val="auto"/>
          <w:highlight w:val="none"/>
        </w:rPr>
        <w:t>2020</w:t>
      </w:r>
      <w:r>
        <w:rPr>
          <w:rFonts w:hint="eastAsia" w:ascii="Times New Roman" w:hAnsi="Times New Roman"/>
          <w:color w:val="auto"/>
          <w:highlight w:val="none"/>
        </w:rPr>
        <w:t>﹞</w:t>
      </w:r>
      <w:r>
        <w:rPr>
          <w:rFonts w:ascii="Times New Roman" w:hAnsi="Times New Roman"/>
          <w:color w:val="auto"/>
          <w:highlight w:val="none"/>
        </w:rPr>
        <w:t>46</w:t>
      </w:r>
      <w:r>
        <w:rPr>
          <w:rFonts w:hint="eastAsia" w:ascii="Times New Roman" w:hAnsi="Times New Roman"/>
          <w:color w:val="auto"/>
          <w:highlight w:val="none"/>
        </w:rPr>
        <w:t>号）和《工业和信息化部、国家统计局、国家发展和改革委员会、财政部关于印发中小企业划型标准规定的通知》（工信部联企业〔</w:t>
      </w:r>
      <w:r>
        <w:rPr>
          <w:rFonts w:ascii="Times New Roman" w:hAnsi="Times New Roman"/>
          <w:color w:val="auto"/>
          <w:highlight w:val="none"/>
        </w:rPr>
        <w:t>2011</w:t>
      </w:r>
      <w:r>
        <w:rPr>
          <w:rFonts w:hint="eastAsia" w:ascii="Times New Roman" w:hAnsi="Times New Roman"/>
          <w:color w:val="auto"/>
          <w:highlight w:val="none"/>
        </w:rPr>
        <w:t>〕</w:t>
      </w:r>
      <w:r>
        <w:rPr>
          <w:rFonts w:ascii="Times New Roman" w:hAnsi="Times New Roman"/>
          <w:color w:val="auto"/>
          <w:highlight w:val="none"/>
        </w:rPr>
        <w:t>300</w:t>
      </w:r>
      <w:r>
        <w:rPr>
          <w:rFonts w:hint="eastAsia" w:ascii="Times New Roman" w:hAnsi="Times New Roman"/>
          <w:color w:val="auto"/>
          <w:highlight w:val="none"/>
        </w:rPr>
        <w:t>号文）的相关规定。</w:t>
      </w:r>
    </w:p>
    <w:p w14:paraId="383D4DC1">
      <w:pPr>
        <w:ind w:firstLine="743" w:firstLineChars="354"/>
        <w:rPr>
          <w:rFonts w:ascii="Times New Roman" w:hAnsi="Times New Roman"/>
          <w:color w:val="auto"/>
          <w:highlight w:val="none"/>
        </w:rPr>
      </w:pPr>
    </w:p>
    <w:p w14:paraId="4644177D">
      <w:pPr>
        <w:rPr>
          <w:rFonts w:ascii="Times New Roman" w:hAnsi="Times New Roman"/>
          <w:color w:val="auto"/>
          <w:kern w:val="0"/>
          <w:highlight w:val="none"/>
        </w:rPr>
      </w:pPr>
      <w:r>
        <w:rPr>
          <w:rFonts w:ascii="Times New Roman" w:hAnsi="Times New Roman"/>
          <w:color w:val="auto"/>
          <w:kern w:val="0"/>
          <w:highlight w:val="none"/>
        </w:rPr>
        <w:br w:type="page"/>
      </w:r>
    </w:p>
    <w:p w14:paraId="3A35AACE">
      <w:pPr>
        <w:rPr>
          <w:rFonts w:ascii="Times New Roman" w:hAnsi="Times New Roman"/>
          <w:color w:val="auto"/>
          <w:kern w:val="0"/>
          <w:highlight w:val="none"/>
        </w:rPr>
      </w:pPr>
      <w:r>
        <w:rPr>
          <w:rFonts w:hint="eastAsia" w:ascii="Times New Roman" w:hAnsi="Times New Roman"/>
          <w:color w:val="auto"/>
          <w:kern w:val="0"/>
          <w:highlight w:val="none"/>
        </w:rPr>
        <w:t>附件二：残疾人福利性单位声明函</w:t>
      </w:r>
    </w:p>
    <w:p w14:paraId="33E0B966">
      <w:pPr>
        <w:rPr>
          <w:rFonts w:ascii="Times New Roman" w:hAnsi="Times New Roman"/>
          <w:color w:val="auto"/>
          <w:highlight w:val="none"/>
          <w:lang w:val="zh-CN"/>
        </w:rPr>
      </w:pPr>
    </w:p>
    <w:p w14:paraId="0EC92D5D">
      <w:pPr>
        <w:jc w:val="center"/>
        <w:rPr>
          <w:rFonts w:ascii="Times New Roman" w:hAnsi="Times New Roman"/>
          <w:color w:val="auto"/>
          <w:spacing w:val="6"/>
          <w:sz w:val="24"/>
          <w:highlight w:val="none"/>
        </w:rPr>
      </w:pPr>
      <w:r>
        <w:rPr>
          <w:rFonts w:hint="eastAsia" w:ascii="Times New Roman" w:hAnsi="Times New Roman"/>
          <w:color w:val="auto"/>
          <w:spacing w:val="6"/>
          <w:highlight w:val="none"/>
        </w:rPr>
        <w:t>（属于残疾人福利性企业的填写，不属于的无需填写此项内容）</w:t>
      </w:r>
    </w:p>
    <w:p w14:paraId="32517872">
      <w:pPr>
        <w:ind w:firstLine="504"/>
        <w:rPr>
          <w:rFonts w:ascii="Times New Roman" w:hAnsi="Times New Roman"/>
          <w:color w:val="auto"/>
          <w:spacing w:val="6"/>
          <w:highlight w:val="none"/>
        </w:rPr>
      </w:pPr>
      <w:r>
        <w:rPr>
          <w:rFonts w:hint="eastAsia" w:ascii="Times New Roman" w:hAnsi="Times New Roman"/>
          <w:color w:val="auto"/>
          <w:spacing w:val="6"/>
          <w:highlight w:val="none"/>
        </w:rPr>
        <w:t>本单位郑重声明，根据《财政部</w:t>
      </w:r>
      <w:r>
        <w:rPr>
          <w:rFonts w:ascii="Times New Roman" w:hAnsi="Times New Roman"/>
          <w:color w:val="auto"/>
          <w:spacing w:val="6"/>
          <w:highlight w:val="none"/>
        </w:rPr>
        <w:t xml:space="preserve"> </w:t>
      </w:r>
      <w:r>
        <w:rPr>
          <w:rFonts w:hint="eastAsia" w:ascii="Times New Roman" w:hAnsi="Times New Roman"/>
          <w:color w:val="auto"/>
          <w:spacing w:val="6"/>
          <w:highlight w:val="none"/>
        </w:rPr>
        <w:t>民政部</w:t>
      </w:r>
      <w:r>
        <w:rPr>
          <w:rFonts w:ascii="Times New Roman" w:hAnsi="Times New Roman"/>
          <w:color w:val="auto"/>
          <w:spacing w:val="6"/>
          <w:highlight w:val="none"/>
        </w:rPr>
        <w:t xml:space="preserve"> </w:t>
      </w:r>
      <w:r>
        <w:rPr>
          <w:rFonts w:hint="eastAsia" w:ascii="Times New Roman" w:hAnsi="Times New Roman"/>
          <w:color w:val="auto"/>
          <w:spacing w:val="6"/>
          <w:highlight w:val="none"/>
        </w:rPr>
        <w:t>中国残疾人联合会关于促进残疾人就业政府采购政策的通知》（财库〔</w:t>
      </w:r>
      <w:r>
        <w:rPr>
          <w:rFonts w:ascii="Times New Roman" w:hAnsi="Times New Roman"/>
          <w:color w:val="auto"/>
          <w:spacing w:val="6"/>
          <w:highlight w:val="none"/>
        </w:rPr>
        <w:t>2017</w:t>
      </w:r>
      <w:r>
        <w:rPr>
          <w:rFonts w:hint="eastAsia" w:ascii="Times New Roman" w:hAnsi="Times New Roman"/>
          <w:color w:val="auto"/>
          <w:spacing w:val="6"/>
          <w:highlight w:val="none"/>
        </w:rPr>
        <w:t>〕</w:t>
      </w:r>
      <w:r>
        <w:rPr>
          <w:rFonts w:ascii="Times New Roman" w:hAnsi="Times New Roman"/>
          <w:color w:val="auto"/>
          <w:spacing w:val="6"/>
          <w:highlight w:val="none"/>
        </w:rPr>
        <w:t xml:space="preserve"> 141 </w:t>
      </w:r>
      <w:r>
        <w:rPr>
          <w:rFonts w:hint="eastAsia" w:ascii="Times New Roman" w:hAnsi="Times New Roman"/>
          <w:color w:val="auto"/>
          <w:spacing w:val="6"/>
          <w:highlight w:val="none"/>
        </w:rPr>
        <w:t>号）的规定，本单位为符合条件的残疾人福利性单位，且本单位参加</w:t>
      </w:r>
      <w:r>
        <w:rPr>
          <w:rFonts w:ascii="Times New Roman" w:hAnsi="Times New Roman"/>
          <w:color w:val="auto"/>
          <w:spacing w:val="6"/>
          <w:highlight w:val="none"/>
        </w:rPr>
        <w:t>______</w:t>
      </w:r>
      <w:r>
        <w:rPr>
          <w:rFonts w:hint="eastAsia" w:ascii="Times New Roman" w:hAnsi="Times New Roman"/>
          <w:color w:val="auto"/>
          <w:spacing w:val="6"/>
          <w:highlight w:val="none"/>
        </w:rPr>
        <w:t>单位的</w:t>
      </w:r>
      <w:r>
        <w:rPr>
          <w:rFonts w:ascii="Times New Roman" w:hAnsi="Times New Roman"/>
          <w:color w:val="auto"/>
          <w:spacing w:val="6"/>
          <w:highlight w:val="none"/>
        </w:rPr>
        <w:t>______</w:t>
      </w:r>
      <w:r>
        <w:rPr>
          <w:rFonts w:hint="eastAsia" w:ascii="Times New Roman" w:hAnsi="Times New Roman"/>
          <w:color w:val="auto"/>
          <w:spacing w:val="6"/>
          <w:highlight w:val="none"/>
        </w:rPr>
        <w:t>项目采购活动提供本单位制造的货物（由本单位承担工程</w:t>
      </w:r>
      <w:r>
        <w:rPr>
          <w:rFonts w:ascii="Times New Roman" w:hAnsi="Times New Roman"/>
          <w:color w:val="auto"/>
          <w:spacing w:val="6"/>
          <w:highlight w:val="none"/>
        </w:rPr>
        <w:t>/</w:t>
      </w:r>
      <w:r>
        <w:rPr>
          <w:rFonts w:hint="eastAsia" w:ascii="Times New Roman" w:hAnsi="Times New Roman"/>
          <w:color w:val="auto"/>
          <w:spacing w:val="6"/>
          <w:highlight w:val="none"/>
        </w:rPr>
        <w:t>提供服务），或者提供其他残疾人福利性单位制造的货物（不包括使用非残疾人福利性单位注册商标的货物）。本单位对上述声明的真实性负责。如有虚假，将依法承担相应责任。</w:t>
      </w:r>
    </w:p>
    <w:p w14:paraId="2B47F3AE">
      <w:pPr>
        <w:ind w:firstLine="504"/>
        <w:rPr>
          <w:rFonts w:ascii="Times New Roman" w:hAnsi="Times New Roman"/>
          <w:color w:val="auto"/>
          <w:spacing w:val="6"/>
          <w:highlight w:val="none"/>
        </w:rPr>
      </w:pPr>
    </w:p>
    <w:p w14:paraId="4C72BB0B">
      <w:pPr>
        <w:jc w:val="right"/>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u w:val="single"/>
        </w:rPr>
        <w:t xml:space="preserve">                   </w:t>
      </w:r>
      <w:r>
        <w:rPr>
          <w:rFonts w:hint="eastAsia" w:ascii="Times New Roman" w:hAnsi="Times New Roman"/>
          <w:color w:val="auto"/>
          <w:highlight w:val="none"/>
        </w:rPr>
        <w:t>（盖单位公章）</w:t>
      </w:r>
    </w:p>
    <w:p w14:paraId="44D499DC">
      <w:pPr>
        <w:jc w:val="right"/>
        <w:rPr>
          <w:rFonts w:ascii="Times New Roman" w:hAnsi="Times New Roman"/>
          <w:color w:val="auto"/>
          <w:highlight w:val="none"/>
        </w:rPr>
      </w:pPr>
      <w:r>
        <w:rPr>
          <w:rFonts w:ascii="Times New Roman" w:hAnsi="Times New Roman"/>
          <w:color w:val="auto"/>
          <w:highlight w:val="none"/>
        </w:rPr>
        <w:t xml:space="preserve">   </w:t>
      </w:r>
      <w:r>
        <w:rPr>
          <w:rFonts w:hint="eastAsia" w:ascii="Times New Roman" w:hAnsi="Times New Roman"/>
          <w:color w:val="auto"/>
          <w:highlight w:val="none"/>
        </w:rPr>
        <w:t>日期：</w:t>
      </w:r>
      <w:r>
        <w:rPr>
          <w:rFonts w:ascii="Times New Roman" w:hAnsi="Times New Roman"/>
          <w:color w:val="auto"/>
          <w:highlight w:val="none"/>
        </w:rPr>
        <w:t xml:space="preserve">    </w:t>
      </w:r>
      <w:r>
        <w:rPr>
          <w:rFonts w:hint="eastAsia" w:ascii="Times New Roman" w:hAnsi="Times New Roman"/>
          <w:color w:val="auto"/>
          <w:highlight w:val="none"/>
        </w:rPr>
        <w:t>年</w:t>
      </w:r>
      <w:r>
        <w:rPr>
          <w:rFonts w:ascii="Times New Roman" w:hAnsi="Times New Roman"/>
          <w:color w:val="auto"/>
          <w:highlight w:val="none"/>
        </w:rPr>
        <w:t xml:space="preserve">   </w:t>
      </w:r>
      <w:r>
        <w:rPr>
          <w:rFonts w:hint="eastAsia" w:ascii="Times New Roman" w:hAnsi="Times New Roman"/>
          <w:color w:val="auto"/>
          <w:highlight w:val="none"/>
        </w:rPr>
        <w:t>月</w:t>
      </w:r>
      <w:r>
        <w:rPr>
          <w:rFonts w:ascii="Times New Roman" w:hAnsi="Times New Roman"/>
          <w:color w:val="auto"/>
          <w:highlight w:val="none"/>
        </w:rPr>
        <w:t xml:space="preserve">    </w:t>
      </w:r>
      <w:r>
        <w:rPr>
          <w:rFonts w:hint="eastAsia" w:ascii="Times New Roman" w:hAnsi="Times New Roman"/>
          <w:color w:val="auto"/>
          <w:highlight w:val="none"/>
        </w:rPr>
        <w:t>日</w:t>
      </w:r>
    </w:p>
    <w:p w14:paraId="2AE8C254">
      <w:pPr>
        <w:ind w:firstLine="504"/>
        <w:rPr>
          <w:rFonts w:ascii="Times New Roman" w:hAnsi="Times New Roman"/>
          <w:color w:val="auto"/>
          <w:spacing w:val="6"/>
          <w:highlight w:val="none"/>
        </w:rPr>
      </w:pPr>
    </w:p>
    <w:p w14:paraId="075F317C">
      <w:pPr>
        <w:ind w:firstLine="504"/>
        <w:rPr>
          <w:rFonts w:ascii="Times New Roman" w:hAnsi="Times New Roman"/>
          <w:color w:val="auto"/>
          <w:spacing w:val="6"/>
          <w:highlight w:val="none"/>
        </w:rPr>
      </w:pPr>
    </w:p>
    <w:p w14:paraId="4BB674FC">
      <w:pPr>
        <w:ind w:firstLine="504"/>
        <w:rPr>
          <w:rFonts w:ascii="Times New Roman" w:hAnsi="Times New Roman"/>
          <w:color w:val="auto"/>
          <w:spacing w:val="6"/>
          <w:highlight w:val="none"/>
        </w:rPr>
      </w:pPr>
    </w:p>
    <w:p w14:paraId="761A3DBF">
      <w:pPr>
        <w:spacing w:line="500" w:lineRule="exact"/>
        <w:ind w:firstLine="560"/>
        <w:rPr>
          <w:rFonts w:ascii="Times New Roman" w:hAnsi="Times New Roman"/>
          <w:b/>
          <w:bCs/>
          <w:color w:val="auto"/>
          <w:sz w:val="24"/>
          <w:szCs w:val="24"/>
          <w:highlight w:val="none"/>
        </w:rPr>
      </w:pPr>
      <w:r>
        <w:rPr>
          <w:rFonts w:hint="eastAsia" w:ascii="Times New Roman" w:hAnsi="Times New Roman"/>
          <w:b/>
          <w:bCs/>
          <w:color w:val="auto"/>
          <w:sz w:val="24"/>
          <w:szCs w:val="24"/>
          <w:highlight w:val="none"/>
        </w:rPr>
        <w:t>注：</w:t>
      </w:r>
    </w:p>
    <w:p w14:paraId="53D89B5F">
      <w:pPr>
        <w:spacing w:line="500" w:lineRule="exact"/>
        <w:ind w:firstLine="560"/>
        <w:rPr>
          <w:rFonts w:ascii="Times New Roman" w:hAnsi="Times New Roman"/>
          <w:b/>
          <w:bCs/>
          <w:color w:val="auto"/>
          <w:sz w:val="24"/>
          <w:szCs w:val="24"/>
          <w:highlight w:val="none"/>
        </w:rPr>
      </w:pPr>
      <w:r>
        <w:rPr>
          <w:rFonts w:ascii="Times New Roman" w:hAnsi="Times New Roman"/>
          <w:b/>
          <w:bCs/>
          <w:color w:val="auto"/>
          <w:sz w:val="24"/>
          <w:szCs w:val="24"/>
          <w:highlight w:val="none"/>
        </w:rPr>
        <w:t>1</w:t>
      </w:r>
      <w:r>
        <w:rPr>
          <w:rFonts w:hint="eastAsia" w:ascii="Times New Roman" w:hAnsi="Times New Roman"/>
          <w:b/>
          <w:bCs/>
          <w:color w:val="auto"/>
          <w:sz w:val="24"/>
          <w:szCs w:val="24"/>
          <w:highlight w:val="none"/>
        </w:rPr>
        <w:t>、供应商须对声明的真实性负责，如供应商提供的《残疾人福利性单位声明函》与事实不符的，依照《中华人民共和国政府采购法》第七十七条第一款的规定追究法律责任。</w:t>
      </w:r>
    </w:p>
    <w:p w14:paraId="3DB920EA">
      <w:pPr>
        <w:spacing w:line="500" w:lineRule="exact"/>
        <w:ind w:firstLine="560"/>
        <w:rPr>
          <w:rFonts w:ascii="Times New Roman" w:hAnsi="Times New Roman"/>
          <w:b/>
          <w:bCs/>
          <w:color w:val="auto"/>
          <w:sz w:val="24"/>
          <w:szCs w:val="24"/>
          <w:highlight w:val="none"/>
        </w:rPr>
      </w:pPr>
      <w:r>
        <w:rPr>
          <w:rFonts w:ascii="Times New Roman" w:hAnsi="Times New Roman"/>
          <w:b/>
          <w:bCs/>
          <w:color w:val="auto"/>
          <w:sz w:val="24"/>
          <w:szCs w:val="24"/>
          <w:highlight w:val="none"/>
        </w:rPr>
        <w:t>2</w:t>
      </w:r>
      <w:r>
        <w:rPr>
          <w:rFonts w:hint="eastAsia" w:ascii="Times New Roman" w:hAnsi="Times New Roman"/>
          <w:b/>
          <w:bCs/>
          <w:color w:val="auto"/>
          <w:sz w:val="24"/>
          <w:szCs w:val="24"/>
          <w:highlight w:val="none"/>
        </w:rPr>
        <w:t>、不填写或不提交本函的，视为不适用相关政策。</w:t>
      </w:r>
    </w:p>
    <w:p w14:paraId="067378D9">
      <w:pPr>
        <w:pStyle w:val="9"/>
        <w:ind w:firstLine="480"/>
        <w:rPr>
          <w:rFonts w:ascii="Times New Roman" w:hAnsi="Times New Roman" w:eastAsia="宋体" w:cs="Times New Roman"/>
          <w:color w:val="auto"/>
          <w:highlight w:val="none"/>
        </w:rPr>
      </w:pPr>
    </w:p>
    <w:p w14:paraId="684AC02D">
      <w:pPr>
        <w:widowControl/>
        <w:rPr>
          <w:rFonts w:ascii="Times New Roman" w:hAnsi="Times New Roman"/>
          <w:color w:val="auto"/>
          <w:kern w:val="0"/>
          <w:highlight w:val="none"/>
        </w:rPr>
      </w:pPr>
      <w:r>
        <w:rPr>
          <w:rFonts w:ascii="Times New Roman" w:hAnsi="Times New Roman"/>
          <w:color w:val="auto"/>
          <w:kern w:val="0"/>
          <w:highlight w:val="none"/>
        </w:rPr>
        <w:br w:type="page"/>
      </w:r>
    </w:p>
    <w:p w14:paraId="279B6AC4">
      <w:pPr>
        <w:rPr>
          <w:rFonts w:ascii="Times New Roman" w:hAnsi="Times New Roman"/>
          <w:color w:val="auto"/>
          <w:kern w:val="0"/>
          <w:highlight w:val="none"/>
        </w:rPr>
      </w:pPr>
      <w:r>
        <w:rPr>
          <w:rFonts w:hint="eastAsia" w:ascii="Times New Roman" w:hAnsi="Times New Roman"/>
          <w:color w:val="auto"/>
          <w:kern w:val="0"/>
          <w:highlight w:val="none"/>
        </w:rPr>
        <w:t>附件三</w:t>
      </w:r>
      <w:r>
        <w:rPr>
          <w:rFonts w:ascii="Times New Roman" w:hAnsi="Times New Roman"/>
          <w:color w:val="auto"/>
          <w:kern w:val="0"/>
          <w:highlight w:val="none"/>
        </w:rPr>
        <w:t xml:space="preserve"> </w:t>
      </w:r>
      <w:r>
        <w:rPr>
          <w:rFonts w:hint="eastAsia" w:ascii="Times New Roman" w:hAnsi="Times New Roman"/>
          <w:color w:val="auto"/>
          <w:kern w:val="0"/>
          <w:highlight w:val="none"/>
        </w:rPr>
        <w:t>：监狱企业证明文件</w:t>
      </w:r>
    </w:p>
    <w:p w14:paraId="616203B0">
      <w:pPr>
        <w:ind w:firstLine="371" w:firstLineChars="177"/>
        <w:rPr>
          <w:rFonts w:ascii="Times New Roman" w:hAnsi="Times New Roman"/>
          <w:color w:val="auto"/>
          <w:highlight w:val="none"/>
        </w:rPr>
      </w:pPr>
      <w:r>
        <w:rPr>
          <w:rFonts w:hint="eastAsia" w:ascii="Times New Roman" w:hAnsi="Times New Roman"/>
          <w:color w:val="auto"/>
          <w:highlight w:val="none"/>
        </w:rPr>
        <w:t>省级以上监狱管理局、戒毒管理局（含新疆生产建设兵团）出具的属于监狱企业的证明文件。</w:t>
      </w:r>
    </w:p>
    <w:p w14:paraId="6FE034DD">
      <w:pPr>
        <w:ind w:firstLine="371" w:firstLineChars="177"/>
        <w:rPr>
          <w:rFonts w:ascii="Times New Roman" w:hAnsi="Times New Roman"/>
          <w:color w:val="auto"/>
          <w:highlight w:val="none"/>
        </w:rPr>
      </w:pPr>
    </w:p>
    <w:p w14:paraId="64AAB32C">
      <w:pPr>
        <w:ind w:firstLine="371" w:firstLineChars="177"/>
        <w:rPr>
          <w:rFonts w:ascii="Times New Roman" w:hAnsi="Times New Roman"/>
          <w:color w:val="auto"/>
          <w:highlight w:val="none"/>
        </w:rPr>
      </w:pPr>
      <w:r>
        <w:rPr>
          <w:rFonts w:hint="eastAsia" w:ascii="Times New Roman" w:hAnsi="Times New Roman"/>
          <w:color w:val="auto"/>
          <w:highlight w:val="none"/>
        </w:rPr>
        <w:t>（属于监狱企业的提供，不属于的无需填写此项内容）</w:t>
      </w:r>
    </w:p>
    <w:p w14:paraId="1C13AEEF">
      <w:pPr>
        <w:ind w:firstLine="371" w:firstLineChars="177"/>
        <w:rPr>
          <w:rFonts w:ascii="Times New Roman" w:hAnsi="Times New Roman"/>
          <w:color w:val="auto"/>
          <w:highlight w:val="none"/>
        </w:rPr>
      </w:pPr>
    </w:p>
    <w:p w14:paraId="5F03A334">
      <w:pPr>
        <w:jc w:val="right"/>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u w:val="single"/>
        </w:rPr>
        <w:t xml:space="preserve">                   </w:t>
      </w:r>
      <w:r>
        <w:rPr>
          <w:rFonts w:hint="eastAsia" w:ascii="Times New Roman" w:hAnsi="Times New Roman"/>
          <w:color w:val="auto"/>
          <w:highlight w:val="none"/>
        </w:rPr>
        <w:t>（盖单位公章）</w:t>
      </w:r>
    </w:p>
    <w:p w14:paraId="499087EA">
      <w:pPr>
        <w:jc w:val="right"/>
        <w:rPr>
          <w:rFonts w:ascii="Times New Roman" w:hAnsi="Times New Roman"/>
          <w:color w:val="auto"/>
          <w:highlight w:val="none"/>
        </w:rPr>
      </w:pPr>
      <w:r>
        <w:rPr>
          <w:rFonts w:ascii="Times New Roman" w:hAnsi="Times New Roman"/>
          <w:color w:val="auto"/>
          <w:highlight w:val="none"/>
        </w:rPr>
        <w:t xml:space="preserve">   </w:t>
      </w:r>
      <w:r>
        <w:rPr>
          <w:rFonts w:hint="eastAsia" w:ascii="Times New Roman" w:hAnsi="Times New Roman"/>
          <w:color w:val="auto"/>
          <w:highlight w:val="none"/>
        </w:rPr>
        <w:t>日期：</w:t>
      </w:r>
      <w:r>
        <w:rPr>
          <w:rFonts w:ascii="Times New Roman" w:hAnsi="Times New Roman"/>
          <w:color w:val="auto"/>
          <w:highlight w:val="none"/>
        </w:rPr>
        <w:t xml:space="preserve">    </w:t>
      </w:r>
      <w:r>
        <w:rPr>
          <w:rFonts w:hint="eastAsia" w:ascii="Times New Roman" w:hAnsi="Times New Roman"/>
          <w:color w:val="auto"/>
          <w:highlight w:val="none"/>
        </w:rPr>
        <w:t>年</w:t>
      </w:r>
      <w:r>
        <w:rPr>
          <w:rFonts w:ascii="Times New Roman" w:hAnsi="Times New Roman"/>
          <w:color w:val="auto"/>
          <w:highlight w:val="none"/>
        </w:rPr>
        <w:t xml:space="preserve">   </w:t>
      </w:r>
      <w:r>
        <w:rPr>
          <w:rFonts w:hint="eastAsia" w:ascii="Times New Roman" w:hAnsi="Times New Roman"/>
          <w:color w:val="auto"/>
          <w:highlight w:val="none"/>
        </w:rPr>
        <w:t>月</w:t>
      </w:r>
      <w:r>
        <w:rPr>
          <w:rFonts w:ascii="Times New Roman" w:hAnsi="Times New Roman"/>
          <w:color w:val="auto"/>
          <w:highlight w:val="none"/>
        </w:rPr>
        <w:t xml:space="preserve">    </w:t>
      </w:r>
      <w:r>
        <w:rPr>
          <w:rFonts w:hint="eastAsia" w:ascii="Times New Roman" w:hAnsi="Times New Roman"/>
          <w:color w:val="auto"/>
          <w:highlight w:val="none"/>
        </w:rPr>
        <w:t>日</w:t>
      </w:r>
    </w:p>
    <w:p w14:paraId="744BF433">
      <w:pPr>
        <w:spacing w:line="500" w:lineRule="exact"/>
        <w:ind w:firstLine="560"/>
        <w:rPr>
          <w:rFonts w:ascii="Times New Roman" w:hAnsi="Times New Roman"/>
          <w:b/>
          <w:bCs/>
          <w:color w:val="auto"/>
          <w:sz w:val="24"/>
          <w:szCs w:val="24"/>
          <w:highlight w:val="none"/>
        </w:rPr>
      </w:pPr>
      <w:r>
        <w:rPr>
          <w:rFonts w:hint="eastAsia" w:ascii="Times New Roman" w:hAnsi="Times New Roman"/>
          <w:b/>
          <w:bCs/>
          <w:color w:val="auto"/>
          <w:sz w:val="24"/>
          <w:szCs w:val="24"/>
          <w:highlight w:val="none"/>
        </w:rPr>
        <w:t>注：</w:t>
      </w:r>
    </w:p>
    <w:p w14:paraId="57FA7B55">
      <w:pPr>
        <w:spacing w:line="500" w:lineRule="exact"/>
        <w:ind w:firstLine="560"/>
        <w:rPr>
          <w:rFonts w:ascii="Times New Roman" w:hAnsi="Times New Roman"/>
          <w:b/>
          <w:bCs/>
          <w:color w:val="auto"/>
          <w:sz w:val="24"/>
          <w:szCs w:val="24"/>
          <w:highlight w:val="none"/>
        </w:rPr>
      </w:pPr>
      <w:r>
        <w:rPr>
          <w:rFonts w:ascii="Times New Roman" w:hAnsi="Times New Roman"/>
          <w:b/>
          <w:bCs/>
          <w:color w:val="auto"/>
          <w:sz w:val="24"/>
          <w:szCs w:val="24"/>
          <w:highlight w:val="none"/>
        </w:rPr>
        <w:t>1</w:t>
      </w:r>
      <w:r>
        <w:rPr>
          <w:rFonts w:hint="eastAsia" w:ascii="Times New Roman" w:hAnsi="Times New Roman"/>
          <w:b/>
          <w:bCs/>
          <w:color w:val="auto"/>
          <w:sz w:val="24"/>
          <w:szCs w:val="24"/>
          <w:highlight w:val="none"/>
        </w:rPr>
        <w:t>、供应商须对声明的真实性负责，如供应商提供的《残疾人福利性单位声明函》与事实不符的，依照《中华人民共和国政府采购法》第七十七条第一款的规定追究法律责任。</w:t>
      </w:r>
    </w:p>
    <w:p w14:paraId="1655E93B">
      <w:pPr>
        <w:spacing w:line="500" w:lineRule="exact"/>
        <w:ind w:firstLine="560"/>
        <w:rPr>
          <w:rFonts w:ascii="Times New Roman" w:hAnsi="Times New Roman"/>
          <w:b/>
          <w:bCs/>
          <w:color w:val="auto"/>
          <w:sz w:val="24"/>
          <w:szCs w:val="24"/>
          <w:highlight w:val="none"/>
        </w:rPr>
      </w:pPr>
      <w:r>
        <w:rPr>
          <w:rFonts w:ascii="Times New Roman" w:hAnsi="Times New Roman"/>
          <w:b/>
          <w:bCs/>
          <w:color w:val="auto"/>
          <w:sz w:val="24"/>
          <w:szCs w:val="24"/>
          <w:highlight w:val="none"/>
        </w:rPr>
        <w:t>2</w:t>
      </w:r>
      <w:r>
        <w:rPr>
          <w:rFonts w:hint="eastAsia" w:ascii="Times New Roman" w:hAnsi="Times New Roman"/>
          <w:b/>
          <w:bCs/>
          <w:color w:val="auto"/>
          <w:sz w:val="24"/>
          <w:szCs w:val="24"/>
          <w:highlight w:val="none"/>
        </w:rPr>
        <w:t>、不填写或不提交本函的，视为不适用相关政策。</w:t>
      </w:r>
    </w:p>
    <w:p w14:paraId="25E862BD">
      <w:pPr>
        <w:ind w:firstLine="371" w:firstLineChars="177"/>
        <w:rPr>
          <w:rFonts w:ascii="Times New Roman" w:hAnsi="Times New Roman"/>
          <w:color w:val="auto"/>
          <w:highlight w:val="none"/>
        </w:rPr>
      </w:pPr>
    </w:p>
    <w:p w14:paraId="320FE0F5">
      <w:pPr>
        <w:ind w:firstLine="371" w:firstLineChars="177"/>
        <w:rPr>
          <w:rFonts w:ascii="Times New Roman" w:hAnsi="Times New Roman"/>
          <w:color w:val="auto"/>
          <w:highlight w:val="none"/>
        </w:rPr>
      </w:pPr>
    </w:p>
    <w:p w14:paraId="5DEEBFE3">
      <w:pPr>
        <w:rPr>
          <w:rFonts w:ascii="Times New Roman" w:hAnsi="Times New Roman"/>
          <w:color w:val="auto"/>
          <w:highlight w:val="none"/>
        </w:rPr>
      </w:pPr>
    </w:p>
    <w:p w14:paraId="02D9E10B"/>
    <w:sectPr>
      <w:pgSz w:w="11906" w:h="16838"/>
      <w:pgMar w:top="1440" w:right="1946" w:bottom="1440" w:left="1560" w:header="851" w:footer="737" w:gutter="0"/>
      <w:cols w:space="720" w:num="1"/>
      <w:titlePg/>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汉仪中黑 197">
    <w:panose1 w:val="00020600040101010101"/>
    <w:charset w:val="86"/>
    <w:family w:val="roman"/>
    <w:pitch w:val="default"/>
    <w:sig w:usb0="A00002BF" w:usb1="18EF7CFA" w:usb2="00000016" w:usb3="00000000" w:csb0="0004009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86324">
    <w:pPr>
      <w:pStyle w:val="6"/>
      <w:ind w:firstLine="360"/>
      <w:jc w:val="center"/>
    </w:pPr>
    <w:r>
      <w:fldChar w:fldCharType="begin"/>
    </w:r>
    <w:r>
      <w:instrText xml:space="preserve">PAGE   \* MERGEFORMAT</w:instrText>
    </w:r>
    <w:r>
      <w:fldChar w:fldCharType="separate"/>
    </w:r>
    <w:r>
      <w:rPr>
        <w:lang w:val="zh-CN"/>
      </w:rPr>
      <w:t>2</w:t>
    </w:r>
    <w:r>
      <w:fldChar w:fldCharType="end"/>
    </w:r>
  </w:p>
  <w:p w14:paraId="107EF19E">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DA5EA">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37846">
    <w:pPr>
      <w:pStyle w:val="6"/>
      <w:ind w:firstLine="360"/>
    </w:pPr>
  </w:p>
  <w:p w14:paraId="6BE91DB3">
    <w:pPr>
      <w:pStyle w:val="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437CC">
    <w:pPr>
      <w:pStyle w:val="6"/>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6C317">
    <w:pPr>
      <w:pStyle w:val="6"/>
      <w:ind w:firstLine="360"/>
    </w:pPr>
  </w:p>
  <w:p w14:paraId="68F2EC35">
    <w:pPr>
      <w:pStyle w:val="6"/>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19AD5">
    <w:pPr>
      <w:pStyle w:val="6"/>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FED08F">
                          <w:pPr>
                            <w:pStyle w:val="6"/>
                            <w:ind w:firstLine="360"/>
                            <w:jc w:val="center"/>
                          </w:pPr>
                          <w:r>
                            <w:fldChar w:fldCharType="begin"/>
                          </w:r>
                          <w:r>
                            <w:instrText xml:space="preserve">PAGE   \* MERGEFORMAT</w:instrText>
                          </w:r>
                          <w:r>
                            <w:fldChar w:fldCharType="separate"/>
                          </w:r>
                          <w:r>
                            <w:rPr>
                              <w:lang w:val="zh-CN"/>
                            </w:rPr>
                            <w:t>70</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71FED08F">
                    <w:pPr>
                      <w:pStyle w:val="6"/>
                      <w:ind w:firstLine="360"/>
                      <w:jc w:val="center"/>
                    </w:pPr>
                    <w:r>
                      <w:fldChar w:fldCharType="begin"/>
                    </w:r>
                    <w:r>
                      <w:instrText xml:space="preserve">PAGE   \* MERGEFORMAT</w:instrText>
                    </w:r>
                    <w:r>
                      <w:fldChar w:fldCharType="separate"/>
                    </w:r>
                    <w:r>
                      <w:rPr>
                        <w:lang w:val="zh-CN"/>
                      </w:rPr>
                      <w:t>70</w:t>
                    </w:r>
                    <w:r>
                      <w:fldChar w:fldCharType="end"/>
                    </w:r>
                  </w:p>
                </w:txbxContent>
              </v:textbox>
            </v:shape>
          </w:pict>
        </mc:Fallback>
      </mc:AlternateContent>
    </w:r>
  </w:p>
  <w:p w14:paraId="33AA6C44">
    <w:pPr>
      <w:pStyle w:val="6"/>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DE8BF">
    <w:pPr>
      <w:pStyle w:val="6"/>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539DD2">
                          <w:pPr>
                            <w:pStyle w:val="6"/>
                          </w:pPr>
                          <w:r>
                            <w:fldChar w:fldCharType="begin"/>
                          </w:r>
                          <w:r>
                            <w:instrText xml:space="preserve"> PAGE  \* MERGEFORMAT </w:instrText>
                          </w:r>
                          <w:r>
                            <w:fldChar w:fldCharType="separate"/>
                          </w:r>
                          <w:r>
                            <w:t>57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04539DD2">
                    <w:pPr>
                      <w:pStyle w:val="6"/>
                    </w:pPr>
                    <w:r>
                      <w:fldChar w:fldCharType="begin"/>
                    </w:r>
                    <w:r>
                      <w:instrText xml:space="preserve"> PAGE  \* MERGEFORMAT </w:instrText>
                    </w:r>
                    <w:r>
                      <w:fldChar w:fldCharType="separate"/>
                    </w:r>
                    <w:r>
                      <w:t>57</w:t>
                    </w:r>
                    <w:r>
                      <w:fldChar w:fldCharType="end"/>
                    </w:r>
                  </w:p>
                </w:txbxContent>
              </v:textbox>
            </v:shape>
          </w:pict>
        </mc:Fallback>
      </mc:AlternateContent>
    </w:r>
  </w:p>
  <w:p w14:paraId="514F2A19">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F934B">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481AF">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C225C8"/>
    <w:multiLevelType w:val="singleLevel"/>
    <w:tmpl w:val="DAC225C8"/>
    <w:lvl w:ilvl="0" w:tentative="0">
      <w:start w:val="1"/>
      <w:numFmt w:val="decimal"/>
      <w:lvlText w:val="%1."/>
      <w:lvlJc w:val="left"/>
      <w:pPr>
        <w:ind w:left="425" w:hanging="425"/>
      </w:pPr>
      <w:rPr>
        <w:rFonts w:hint="default"/>
      </w:rPr>
    </w:lvl>
  </w:abstractNum>
  <w:abstractNum w:abstractNumId="1">
    <w:nsid w:val="076C859D"/>
    <w:multiLevelType w:val="singleLevel"/>
    <w:tmpl w:val="076C859D"/>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917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9"/>
    <w:pPr>
      <w:jc w:val="center"/>
      <w:outlineLvl w:val="0"/>
    </w:pPr>
    <w:rPr>
      <w:rFonts w:ascii="黑体" w:hAnsi="黑体" w:eastAsia="黑体"/>
      <w:b/>
      <w:sz w:val="48"/>
      <w:szCs w:val="36"/>
    </w:rPr>
  </w:style>
  <w:style w:type="paragraph" w:styleId="3">
    <w:name w:val="heading 2"/>
    <w:basedOn w:val="2"/>
    <w:next w:val="1"/>
    <w:qFormat/>
    <w:uiPriority w:val="9"/>
    <w:pPr>
      <w:spacing w:line="480" w:lineRule="exact"/>
      <w:outlineLvl w:val="1"/>
    </w:pPr>
    <w:rPr>
      <w:rFonts w:ascii="Times New Roman" w:hAnsi="Times New Roman" w:eastAsia="仿宋"/>
      <w:sz w:val="32"/>
    </w:rPr>
  </w:style>
  <w:style w:type="paragraph" w:styleId="4">
    <w:name w:val="heading 3"/>
    <w:basedOn w:val="3"/>
    <w:next w:val="1"/>
    <w:qFormat/>
    <w:uiPriority w:val="1"/>
    <w:pPr>
      <w:spacing w:before="53" w:line="360" w:lineRule="auto"/>
      <w:ind w:left="4082" w:firstLine="200" w:firstLineChars="200"/>
      <w:outlineLvl w:val="2"/>
    </w:pPr>
    <w:rPr>
      <w:rFonts w:ascii="Calibri Light" w:hAnsi="Calibri Light" w:eastAsia="@汉仪中黑 197" w:cs="Calibri Light"/>
      <w:bCs/>
      <w:sz w:val="24"/>
      <w:szCs w:val="30"/>
      <w:lang w:val="zh-CN" w:bidi="zh-CN"/>
    </w:rPr>
  </w:style>
  <w:style w:type="character" w:default="1" w:styleId="14">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Body Text"/>
    <w:basedOn w:val="1"/>
    <w:next w:val="1"/>
    <w:unhideWhenUsed/>
    <w:qFormat/>
    <w:uiPriority w:val="99"/>
    <w:pPr>
      <w:spacing w:after="120"/>
    </w:pPr>
    <w:rPr>
      <w:kern w:val="0"/>
      <w:sz w:val="20"/>
    </w:rPr>
  </w:style>
  <w:style w:type="paragraph" w:styleId="6">
    <w:name w:val="footer"/>
    <w:basedOn w:val="1"/>
    <w:unhideWhenUsed/>
    <w:qFormat/>
    <w:uiPriority w:val="0"/>
    <w:pPr>
      <w:tabs>
        <w:tab w:val="center" w:pos="4153"/>
        <w:tab w:val="right" w:pos="8306"/>
      </w:tabs>
      <w:snapToGrid w:val="0"/>
      <w:jc w:val="left"/>
    </w:pPr>
    <w:rPr>
      <w:sz w:val="18"/>
      <w:szCs w:val="18"/>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spacing w:before="120" w:after="120" w:line="360" w:lineRule="auto"/>
      <w:ind w:firstLine="200" w:firstLineChars="200"/>
      <w:jc w:val="left"/>
    </w:pPr>
    <w:rPr>
      <w:rFonts w:ascii="Times New Roman" w:hAnsi="Times New Roman" w:eastAsia="@汉仪中黑 197" w:cs="Calibri Light"/>
      <w:b/>
      <w:bCs/>
      <w:caps/>
      <w:sz w:val="20"/>
      <w:szCs w:val="20"/>
    </w:rPr>
  </w:style>
  <w:style w:type="paragraph" w:styleId="9">
    <w:name w:val="Body Text 2"/>
    <w:basedOn w:val="1"/>
    <w:qFormat/>
    <w:uiPriority w:val="0"/>
    <w:pPr>
      <w:spacing w:line="480" w:lineRule="auto"/>
      <w:ind w:firstLine="200" w:firstLineChars="200"/>
      <w:jc w:val="left"/>
    </w:pPr>
    <w:rPr>
      <w:rFonts w:ascii="Calibri Light" w:hAnsi="Calibri Light" w:eastAsia="@汉仪中黑 197" w:cs="Calibri Light"/>
      <w:sz w:val="24"/>
      <w:szCs w:val="24"/>
    </w:rPr>
  </w:style>
  <w:style w:type="paragraph" w:styleId="10">
    <w:name w:val="Normal (Web)"/>
    <w:basedOn w:val="1"/>
    <w:qFormat/>
    <w:uiPriority w:val="0"/>
    <w:pPr>
      <w:jc w:val="left"/>
    </w:pPr>
    <w:rPr>
      <w:kern w:val="0"/>
      <w:sz w:val="24"/>
    </w:rPr>
  </w:style>
  <w:style w:type="paragraph" w:styleId="11">
    <w:name w:val="Body Text First Indent"/>
    <w:basedOn w:val="5"/>
    <w:qFormat/>
    <w:uiPriority w:val="0"/>
    <w:pPr>
      <w:spacing w:line="360" w:lineRule="auto"/>
      <w:ind w:firstLine="420"/>
    </w:pPr>
    <w:rPr>
      <w:rFonts w:eastAsia="Arial Unicode MS"/>
      <w:color w:val="000000"/>
      <w:sz w:val="28"/>
      <w:szCs w:val="28"/>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qFormat/>
    <w:uiPriority w:val="99"/>
    <w:rPr>
      <w:color w:val="666666"/>
      <w:u w:val="none"/>
    </w:rPr>
  </w:style>
  <w:style w:type="table" w:customStyle="1" w:styleId="16">
    <w:name w:val="Table Normal"/>
    <w:unhideWhenUsed/>
    <w:qFormat/>
    <w:uiPriority w:val="0"/>
    <w:tblPr>
      <w:tblCellMar>
        <w:top w:w="0" w:type="dxa"/>
        <w:left w:w="0" w:type="dxa"/>
        <w:bottom w:w="0" w:type="dxa"/>
        <w:right w:w="0" w:type="dxa"/>
      </w:tblCellMar>
    </w:tblPr>
  </w:style>
  <w:style w:type="paragraph" w:customStyle="1" w:styleId="17">
    <w:name w:val="Table Text"/>
    <w:basedOn w:val="1"/>
    <w:semiHidden/>
    <w:qFormat/>
    <w:uiPriority w:val="0"/>
    <w:pPr>
      <w:spacing w:line="500" w:lineRule="exact"/>
      <w:ind w:firstLine="200" w:firstLineChars="200"/>
      <w:jc w:val="left"/>
    </w:pPr>
    <w:rPr>
      <w:rFonts w:ascii="宋体" w:hAnsi="宋体" w:cs="宋体"/>
      <w:sz w:val="24"/>
      <w:szCs w:val="24"/>
      <w:lang w:eastAsia="en-US"/>
    </w:rPr>
  </w:style>
  <w:style w:type="paragraph" w:customStyle="1" w:styleId="18">
    <w:name w:val="*正文_2"/>
    <w:basedOn w:val="1"/>
    <w:next w:val="1"/>
    <w:qFormat/>
    <w:uiPriority w:val="0"/>
    <w:pPr>
      <w:widowControl/>
      <w:ind w:firstLine="482"/>
    </w:pPr>
    <w:rPr>
      <w:rFonts w:ascii="微软雅黑" w:hAnsi="微软雅黑" w:eastAsia="微软雅黑"/>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97</Pages>
  <Words>41272</Words>
  <Characters>44551</Characters>
  <Lines>0</Lines>
  <Paragraphs>0</Paragraphs>
  <TotalTime>0</TotalTime>
  <ScaleCrop>false</ScaleCrop>
  <LinksUpToDate>false</LinksUpToDate>
  <CharactersWithSpaces>46384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2025-08-26T09:54:47Z</dcterms:created>
  <dc:creator>Administrator</dc:creator>
  <cp:lastModifiedBy>三门峡</cp:lastModifiedBy>
  <dcterms:modified xsi:type="dcterms:W3CDTF">2025-08-26T09:55:28Z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eyJoZGlkIjoiNDcxMzcxMzNkMjI2MDZlYjUwOWVmOGNkY2Q5NjE5ZjMiLCJ1c2VySWQiOiIxOTcyOTQ0NSJ9</vt:lpwstr>
  </property>
  <property fmtid="{D5CDD505-2E9C-101B-9397-08002B2CF9AE}" pid="4" name="ICV">
    <vt:lpwstr>BE07276E04554C0284E8E8A280DFBC70_12</vt:lpwstr>
  </property>
</Properties>
</file>