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28"/>
          <w:szCs w:val="32"/>
        </w:rPr>
      </w:pPr>
      <w:r>
        <w:rPr>
          <w:rFonts w:hint="eastAsia" w:ascii="宋体" w:hAnsi="宋体" w:cs="宋体"/>
          <w:b/>
          <w:sz w:val="28"/>
          <w:szCs w:val="32"/>
          <w:lang w:eastAsia="zh-CN"/>
        </w:rPr>
        <w:t>郑州大学河南省医药科学研究院人才学科平台实验仪器设备(一期)采购项目</w:t>
      </w:r>
      <w:r>
        <w:rPr>
          <w:rFonts w:hint="eastAsia" w:ascii="宋体" w:hAnsi="宋体" w:cs="宋体"/>
          <w:b/>
          <w:sz w:val="28"/>
          <w:szCs w:val="32"/>
        </w:rPr>
        <w:t>竞争性谈判公告</w:t>
      </w:r>
    </w:p>
    <w:p>
      <w:pPr>
        <w:ind w:firstLine="480" w:firstLineChars="200"/>
        <w:rPr>
          <w:rFonts w:hint="eastAsia" w:ascii="宋体" w:hAnsi="宋体"/>
        </w:rPr>
      </w:pPr>
      <w:r>
        <w:rPr>
          <w:rFonts w:hint="eastAsia" w:ascii="宋体" w:hAnsi="宋体"/>
        </w:rPr>
        <w:t>项目概况</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rPr>
      </w:pPr>
      <w:r>
        <w:rPr>
          <w:rFonts w:hint="eastAsia" w:ascii="宋体" w:hAnsi="宋体"/>
          <w:lang w:eastAsia="zh-CN"/>
        </w:rPr>
        <w:t>郑州大学河南省医药科学研究院人才学科平台实验仪器设备(一期)采购项目</w:t>
      </w:r>
      <w:r>
        <w:rPr>
          <w:rFonts w:hint="eastAsia" w:ascii="宋体" w:hAnsi="宋体"/>
        </w:rPr>
        <w:t>的</w:t>
      </w:r>
      <w:r>
        <w:rPr>
          <w:rFonts w:hint="eastAsia" w:ascii="宋体" w:hAnsi="宋体" w:cs="宋体"/>
        </w:rPr>
        <w:t>潜在供应商应在河南省公共资源交易中心（http://www.hnggzy.net）获取竞争性谈判文件，并于202</w:t>
      </w:r>
      <w:r>
        <w:rPr>
          <w:rFonts w:hint="eastAsia" w:ascii="宋体" w:hAnsi="宋体" w:cs="宋体"/>
          <w:lang w:val="en-US" w:eastAsia="zh-CN"/>
        </w:rPr>
        <w:t>4</w:t>
      </w:r>
      <w:r>
        <w:rPr>
          <w:rFonts w:hint="eastAsia" w:ascii="宋体" w:hAnsi="宋体" w:cs="宋体"/>
        </w:rPr>
        <w:t>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22</w:t>
      </w:r>
      <w:r>
        <w:rPr>
          <w:rFonts w:hint="eastAsia" w:ascii="宋体" w:hAnsi="宋体" w:cs="宋体"/>
        </w:rPr>
        <w:t>日09时00分（北京时间）前递交响应文件。</w:t>
      </w:r>
    </w:p>
    <w:p>
      <w:pPr>
        <w:rPr>
          <w:rFonts w:ascii="宋体" w:hAnsi="宋体"/>
          <w:b/>
        </w:rPr>
      </w:pPr>
      <w:r>
        <w:rPr>
          <w:rFonts w:hint="eastAsia" w:ascii="宋体" w:hAnsi="宋体"/>
          <w:b/>
        </w:rPr>
        <w:t>一、项目基本情况</w:t>
      </w:r>
    </w:p>
    <w:p>
      <w:pPr>
        <w:ind w:firstLine="480" w:firstLineChars="200"/>
        <w:rPr>
          <w:rFonts w:hint="default" w:ascii="宋体" w:hAnsi="宋体" w:eastAsia="宋体"/>
          <w:lang w:val="en-US" w:eastAsia="zh-CN"/>
        </w:rPr>
      </w:pPr>
      <w:r>
        <w:rPr>
          <w:rFonts w:hint="eastAsia" w:ascii="宋体" w:hAnsi="宋体"/>
        </w:rPr>
        <w:t>1、项目编号：豫财竞谈-202</w:t>
      </w:r>
      <w:r>
        <w:rPr>
          <w:rFonts w:hint="eastAsia" w:ascii="宋体" w:hAnsi="宋体"/>
          <w:lang w:val="en-US" w:eastAsia="zh-CN"/>
        </w:rPr>
        <w:t>4</w:t>
      </w:r>
      <w:r>
        <w:rPr>
          <w:rFonts w:hint="eastAsia" w:ascii="宋体" w:hAnsi="宋体"/>
        </w:rPr>
        <w:t>-</w:t>
      </w:r>
      <w:r>
        <w:rPr>
          <w:rFonts w:hint="eastAsia" w:ascii="宋体" w:hAnsi="宋体"/>
          <w:lang w:val="en-US" w:eastAsia="zh-CN"/>
        </w:rPr>
        <w:t>12</w:t>
      </w:r>
    </w:p>
    <w:p>
      <w:pPr>
        <w:ind w:firstLine="480" w:firstLineChars="200"/>
        <w:rPr>
          <w:rFonts w:hint="eastAsia" w:ascii="宋体" w:hAnsi="宋体" w:eastAsia="宋体"/>
          <w:lang w:eastAsia="zh-CN"/>
        </w:rPr>
      </w:pPr>
      <w:r>
        <w:rPr>
          <w:rFonts w:hint="eastAsia" w:ascii="宋体" w:hAnsi="宋体"/>
        </w:rPr>
        <w:t>2、项目名称：</w:t>
      </w:r>
      <w:r>
        <w:rPr>
          <w:rFonts w:hint="eastAsia" w:ascii="宋体" w:hAnsi="宋体"/>
          <w:lang w:eastAsia="zh-CN"/>
        </w:rPr>
        <w:t>郑州大学河南省医药科学研究院人才学科平台实验仪器设备(一期)采购项目</w:t>
      </w:r>
    </w:p>
    <w:p>
      <w:pPr>
        <w:ind w:firstLine="480" w:firstLineChars="200"/>
        <w:rPr>
          <w:rFonts w:hint="eastAsia" w:ascii="宋体" w:hAnsi="宋体"/>
        </w:rPr>
      </w:pPr>
      <w:r>
        <w:rPr>
          <w:rFonts w:hint="eastAsia" w:ascii="宋体" w:hAnsi="宋体"/>
        </w:rPr>
        <w:t>3、采购方式：竞争性谈判</w:t>
      </w:r>
    </w:p>
    <w:p>
      <w:pPr>
        <w:ind w:firstLine="480" w:firstLineChars="200"/>
        <w:rPr>
          <w:rFonts w:hint="eastAsia" w:ascii="宋体" w:hAnsi="宋体"/>
        </w:rPr>
      </w:pPr>
      <w:r>
        <w:rPr>
          <w:rFonts w:hint="eastAsia" w:ascii="宋体" w:hAnsi="宋体"/>
        </w:rPr>
        <w:t>4、预算金额：</w:t>
      </w:r>
      <w:r>
        <w:rPr>
          <w:rFonts w:hint="eastAsia" w:ascii="宋体" w:hAnsi="宋体"/>
          <w:lang w:val="en-US" w:eastAsia="zh-CN"/>
        </w:rPr>
        <w:t>1500000</w:t>
      </w:r>
      <w:r>
        <w:rPr>
          <w:rFonts w:hint="eastAsia" w:ascii="宋体" w:hAnsi="宋体"/>
        </w:rPr>
        <w:t>.00元；最高限价：</w:t>
      </w:r>
      <w:r>
        <w:rPr>
          <w:rFonts w:hint="eastAsia" w:ascii="宋体" w:hAnsi="宋体"/>
          <w:lang w:val="en-US" w:eastAsia="zh-CN"/>
        </w:rPr>
        <w:t>1500000</w:t>
      </w:r>
      <w:r>
        <w:rPr>
          <w:rFonts w:hint="eastAsia" w:ascii="宋体" w:hAnsi="宋体"/>
        </w:rPr>
        <w:t>.00元；</w:t>
      </w:r>
    </w:p>
    <w:tbl>
      <w:tblPr>
        <w:tblStyle w:val="2"/>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833"/>
        <w:gridCol w:w="3768"/>
        <w:gridCol w:w="1464"/>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60" w:type="dxa"/>
            <w:noWrap w:val="0"/>
            <w:vAlign w:val="center"/>
          </w:tcPr>
          <w:p>
            <w:pPr>
              <w:widowControl/>
              <w:spacing w:line="240" w:lineRule="auto"/>
              <w:jc w:val="center"/>
              <w:rPr>
                <w:rFonts w:ascii="宋体" w:hAnsi="宋体" w:cs="宋体"/>
                <w:sz w:val="24"/>
                <w:szCs w:val="24"/>
              </w:rPr>
            </w:pPr>
            <w:r>
              <w:rPr>
                <w:rFonts w:hint="eastAsia" w:ascii="宋体" w:hAnsi="宋体" w:cs="宋体"/>
                <w:kern w:val="0"/>
                <w:sz w:val="24"/>
                <w:szCs w:val="24"/>
              </w:rPr>
              <w:t>序号</w:t>
            </w:r>
          </w:p>
        </w:tc>
        <w:tc>
          <w:tcPr>
            <w:tcW w:w="1833" w:type="dxa"/>
            <w:noWrap w:val="0"/>
            <w:vAlign w:val="center"/>
          </w:tcPr>
          <w:p>
            <w:pPr>
              <w:widowControl/>
              <w:spacing w:line="240" w:lineRule="auto"/>
              <w:jc w:val="center"/>
              <w:rPr>
                <w:rFonts w:ascii="宋体" w:hAnsi="宋体" w:cs="宋体"/>
                <w:sz w:val="24"/>
                <w:szCs w:val="24"/>
              </w:rPr>
            </w:pPr>
            <w:r>
              <w:rPr>
                <w:rFonts w:hint="eastAsia" w:ascii="宋体" w:hAnsi="宋体" w:cs="宋体"/>
                <w:kern w:val="0"/>
                <w:sz w:val="24"/>
                <w:szCs w:val="24"/>
              </w:rPr>
              <w:t>包号</w:t>
            </w:r>
          </w:p>
        </w:tc>
        <w:tc>
          <w:tcPr>
            <w:tcW w:w="3768" w:type="dxa"/>
            <w:noWrap w:val="0"/>
            <w:vAlign w:val="center"/>
          </w:tcPr>
          <w:p>
            <w:pPr>
              <w:widowControl/>
              <w:spacing w:line="240" w:lineRule="auto"/>
              <w:jc w:val="center"/>
              <w:rPr>
                <w:rFonts w:ascii="宋体" w:hAnsi="宋体" w:cs="宋体"/>
                <w:sz w:val="24"/>
                <w:szCs w:val="24"/>
              </w:rPr>
            </w:pPr>
            <w:r>
              <w:rPr>
                <w:rFonts w:hint="eastAsia" w:ascii="宋体" w:hAnsi="宋体" w:cs="宋体"/>
                <w:kern w:val="0"/>
                <w:sz w:val="24"/>
                <w:szCs w:val="24"/>
              </w:rPr>
              <w:t>包名称</w:t>
            </w:r>
          </w:p>
        </w:tc>
        <w:tc>
          <w:tcPr>
            <w:tcW w:w="1464" w:type="dxa"/>
            <w:noWrap w:val="0"/>
            <w:vAlign w:val="center"/>
          </w:tcPr>
          <w:p>
            <w:pPr>
              <w:widowControl/>
              <w:spacing w:line="240" w:lineRule="auto"/>
              <w:jc w:val="center"/>
              <w:rPr>
                <w:rFonts w:ascii="宋体" w:hAnsi="宋体" w:cs="宋体"/>
                <w:sz w:val="24"/>
                <w:szCs w:val="24"/>
              </w:rPr>
            </w:pPr>
            <w:r>
              <w:rPr>
                <w:rFonts w:hint="eastAsia" w:ascii="宋体" w:hAnsi="宋体" w:cs="宋体"/>
                <w:kern w:val="0"/>
                <w:sz w:val="24"/>
                <w:szCs w:val="24"/>
              </w:rPr>
              <w:t>包预算（元）</w:t>
            </w:r>
          </w:p>
        </w:tc>
        <w:tc>
          <w:tcPr>
            <w:tcW w:w="1349" w:type="dxa"/>
            <w:noWrap w:val="0"/>
            <w:vAlign w:val="center"/>
          </w:tcPr>
          <w:p>
            <w:pPr>
              <w:widowControl/>
              <w:spacing w:line="240" w:lineRule="auto"/>
              <w:jc w:val="center"/>
              <w:rPr>
                <w:rFonts w:ascii="宋体" w:hAnsi="宋体" w:cs="宋体"/>
                <w:sz w:val="24"/>
                <w:szCs w:val="24"/>
              </w:rPr>
            </w:pPr>
            <w:r>
              <w:rPr>
                <w:rFonts w:hint="eastAsia" w:ascii="宋体" w:hAnsi="宋体" w:cs="宋体"/>
                <w:kern w:val="0"/>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0" w:type="dxa"/>
            <w:noWrap w:val="0"/>
            <w:vAlign w:val="center"/>
          </w:tcPr>
          <w:p>
            <w:pPr>
              <w:widowControl/>
              <w:spacing w:line="240" w:lineRule="auto"/>
              <w:jc w:val="center"/>
              <w:rPr>
                <w:rFonts w:ascii="宋体" w:hAnsi="宋体" w:cs="宋体"/>
                <w:sz w:val="24"/>
                <w:szCs w:val="24"/>
              </w:rPr>
            </w:pPr>
            <w:r>
              <w:rPr>
                <w:rFonts w:hint="eastAsia" w:ascii="宋体" w:hAnsi="宋体" w:cs="宋体"/>
                <w:kern w:val="0"/>
                <w:sz w:val="24"/>
                <w:szCs w:val="24"/>
              </w:rPr>
              <w:t>1</w:t>
            </w:r>
          </w:p>
        </w:tc>
        <w:tc>
          <w:tcPr>
            <w:tcW w:w="1833" w:type="dxa"/>
            <w:noWrap w:val="0"/>
            <w:vAlign w:val="center"/>
          </w:tcPr>
          <w:p>
            <w:pPr>
              <w:pStyle w:val="4"/>
              <w:kinsoku w:val="0"/>
              <w:overflowPunct w:val="0"/>
              <w:spacing w:beforeLines="0" w:afterLines="0" w:line="240" w:lineRule="auto"/>
              <w:ind w:right="212" w:rightChars="0"/>
              <w:jc w:val="center"/>
              <w:rPr>
                <w:rFonts w:hint="eastAsia" w:ascii="宋体" w:hAnsi="宋体" w:eastAsia="宋体" w:cs="宋体"/>
                <w:sz w:val="24"/>
                <w:szCs w:val="24"/>
                <w:lang w:eastAsia="zh-CN"/>
              </w:rPr>
            </w:pPr>
            <w:r>
              <w:rPr>
                <w:rFonts w:hint="default" w:ascii="宋体" w:hAnsi="宋体" w:eastAsia="宋体" w:cs="宋体"/>
                <w:sz w:val="24"/>
                <w:szCs w:val="24"/>
                <w:lang w:eastAsia="zh-CN"/>
              </w:rPr>
              <w:t>豫政采(2)20240479-1</w:t>
            </w:r>
          </w:p>
        </w:tc>
        <w:tc>
          <w:tcPr>
            <w:tcW w:w="3768" w:type="dxa"/>
            <w:noWrap w:val="0"/>
            <w:vAlign w:val="center"/>
          </w:tcPr>
          <w:p>
            <w:pPr>
              <w:pStyle w:val="4"/>
              <w:kinsoku w:val="0"/>
              <w:overflowPunct w:val="0"/>
              <w:spacing w:beforeLines="0" w:afterLines="0" w:line="240" w:lineRule="auto"/>
              <w:ind w:right="212" w:rightChars="0"/>
              <w:jc w:val="center"/>
              <w:rPr>
                <w:rFonts w:hint="eastAsia" w:ascii="宋体" w:hAnsi="宋体" w:eastAsia="宋体" w:cs="宋体"/>
                <w:sz w:val="24"/>
                <w:szCs w:val="24"/>
                <w:lang w:eastAsia="zh-CN"/>
              </w:rPr>
            </w:pPr>
            <w:r>
              <w:rPr>
                <w:rFonts w:hint="eastAsia"/>
                <w:sz w:val="24"/>
                <w:szCs w:val="24"/>
                <w:lang w:eastAsia="zh-CN"/>
              </w:rPr>
              <w:t>郑州大学河南省医药科学研究院人才学科平台实验仪器设备(一期)采购项目</w:t>
            </w:r>
            <w:r>
              <w:rPr>
                <w:rFonts w:hint="default" w:cs="Times New Roman"/>
                <w:sz w:val="24"/>
                <w:szCs w:val="24"/>
                <w:lang w:eastAsia="zh-CN"/>
              </w:rPr>
              <w:t>包一</w:t>
            </w:r>
          </w:p>
        </w:tc>
        <w:tc>
          <w:tcPr>
            <w:tcW w:w="1464" w:type="dxa"/>
            <w:noWrap w:val="0"/>
            <w:vAlign w:val="center"/>
          </w:tcPr>
          <w:p>
            <w:pPr>
              <w:pStyle w:val="4"/>
              <w:kinsoku w:val="0"/>
              <w:overflowPunct w:val="0"/>
              <w:spacing w:beforeLines="0" w:afterLines="0" w:line="240" w:lineRule="auto"/>
              <w:ind w:right="36" w:rightChars="0"/>
              <w:jc w:val="center"/>
              <w:rPr>
                <w:rFonts w:ascii="宋体" w:hAnsi="宋体" w:cs="宋体"/>
                <w:kern w:val="0"/>
                <w:sz w:val="24"/>
                <w:szCs w:val="24"/>
              </w:rPr>
            </w:pPr>
            <w:r>
              <w:rPr>
                <w:rFonts w:hint="eastAsia"/>
                <w:sz w:val="24"/>
                <w:szCs w:val="24"/>
                <w:lang w:eastAsia="zh-CN"/>
              </w:rPr>
              <w:t>500000.00</w:t>
            </w:r>
          </w:p>
        </w:tc>
        <w:tc>
          <w:tcPr>
            <w:tcW w:w="1349" w:type="dxa"/>
            <w:noWrap w:val="0"/>
            <w:vAlign w:val="center"/>
          </w:tcPr>
          <w:p>
            <w:pPr>
              <w:pStyle w:val="4"/>
              <w:kinsoku w:val="0"/>
              <w:overflowPunct w:val="0"/>
              <w:spacing w:beforeLines="0" w:afterLines="0" w:line="240" w:lineRule="auto"/>
              <w:jc w:val="center"/>
              <w:rPr>
                <w:rFonts w:ascii="宋体" w:hAnsi="宋体" w:cs="宋体"/>
                <w:kern w:val="0"/>
                <w:sz w:val="24"/>
                <w:szCs w:val="24"/>
              </w:rPr>
            </w:pPr>
            <w:r>
              <w:rPr>
                <w:rFonts w:hint="eastAsia"/>
                <w:sz w:val="24"/>
                <w:szCs w:val="24"/>
                <w:lang w:eastAsia="zh-CN"/>
              </w:rPr>
              <w:t>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noWrap w:val="0"/>
            <w:vAlign w:val="center"/>
          </w:tcPr>
          <w:p>
            <w:pPr>
              <w:widowControl/>
              <w:spacing w:line="24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1833" w:type="dxa"/>
            <w:noWrap w:val="0"/>
            <w:vAlign w:val="center"/>
          </w:tcPr>
          <w:p>
            <w:pPr>
              <w:pStyle w:val="4"/>
              <w:kinsoku w:val="0"/>
              <w:overflowPunct w:val="0"/>
              <w:spacing w:beforeLines="0" w:afterLines="0" w:line="240" w:lineRule="auto"/>
              <w:ind w:right="212" w:rightChars="0"/>
              <w:jc w:val="center"/>
              <w:rPr>
                <w:rFonts w:hint="eastAsia" w:ascii="宋体" w:hAnsi="宋体" w:eastAsia="宋体" w:cs="宋体"/>
                <w:sz w:val="24"/>
                <w:szCs w:val="24"/>
                <w:lang w:val="en-US" w:eastAsia="zh-CN"/>
              </w:rPr>
            </w:pPr>
            <w:r>
              <w:rPr>
                <w:rFonts w:hint="default" w:ascii="宋体" w:hAnsi="宋体" w:eastAsia="宋体" w:cs="宋体"/>
                <w:sz w:val="24"/>
                <w:szCs w:val="24"/>
                <w:lang w:eastAsia="zh-CN"/>
              </w:rPr>
              <w:t>豫政采(2)20240479-2</w:t>
            </w:r>
          </w:p>
        </w:tc>
        <w:tc>
          <w:tcPr>
            <w:tcW w:w="3768" w:type="dxa"/>
            <w:noWrap w:val="0"/>
            <w:vAlign w:val="center"/>
          </w:tcPr>
          <w:p>
            <w:pPr>
              <w:pStyle w:val="4"/>
              <w:kinsoku w:val="0"/>
              <w:overflowPunct w:val="0"/>
              <w:spacing w:beforeLines="0" w:afterLines="0" w:line="240" w:lineRule="auto"/>
              <w:ind w:right="212" w:rightChars="0"/>
              <w:jc w:val="center"/>
              <w:rPr>
                <w:rFonts w:hint="eastAsia" w:ascii="宋体" w:hAnsi="宋体"/>
                <w:sz w:val="24"/>
                <w:szCs w:val="24"/>
                <w:lang w:eastAsia="zh-CN"/>
              </w:rPr>
            </w:pPr>
            <w:r>
              <w:rPr>
                <w:rFonts w:hint="eastAsia"/>
                <w:sz w:val="24"/>
                <w:szCs w:val="24"/>
                <w:lang w:eastAsia="zh-CN"/>
              </w:rPr>
              <w:t>郑州大学河南省医药科学研究院人才学科平台实验仪器设备(一期)采购项目包二</w:t>
            </w:r>
          </w:p>
        </w:tc>
        <w:tc>
          <w:tcPr>
            <w:tcW w:w="1464" w:type="dxa"/>
            <w:noWrap w:val="0"/>
            <w:vAlign w:val="center"/>
          </w:tcPr>
          <w:p>
            <w:pPr>
              <w:pStyle w:val="4"/>
              <w:kinsoku w:val="0"/>
              <w:overflowPunct w:val="0"/>
              <w:spacing w:beforeLines="0" w:afterLines="0" w:line="240" w:lineRule="auto"/>
              <w:ind w:right="36" w:rightChars="0"/>
              <w:jc w:val="center"/>
              <w:rPr>
                <w:rFonts w:hint="eastAsia" w:ascii="宋体" w:hAnsi="宋体"/>
                <w:sz w:val="24"/>
                <w:szCs w:val="24"/>
              </w:rPr>
            </w:pPr>
            <w:r>
              <w:rPr>
                <w:rFonts w:hint="eastAsia"/>
                <w:sz w:val="24"/>
                <w:szCs w:val="24"/>
                <w:lang w:eastAsia="zh-CN"/>
              </w:rPr>
              <w:t>500000</w:t>
            </w:r>
            <w:r>
              <w:rPr>
                <w:rFonts w:hint="eastAsia"/>
                <w:sz w:val="24"/>
                <w:szCs w:val="24"/>
                <w:lang w:val="en-US" w:eastAsia="zh-CN"/>
              </w:rPr>
              <w:t>.00</w:t>
            </w:r>
          </w:p>
        </w:tc>
        <w:tc>
          <w:tcPr>
            <w:tcW w:w="1349" w:type="dxa"/>
            <w:noWrap w:val="0"/>
            <w:vAlign w:val="center"/>
          </w:tcPr>
          <w:p>
            <w:pPr>
              <w:pStyle w:val="4"/>
              <w:kinsoku w:val="0"/>
              <w:overflowPunct w:val="0"/>
              <w:spacing w:beforeLines="0" w:afterLines="0" w:line="240" w:lineRule="auto"/>
              <w:jc w:val="center"/>
              <w:rPr>
                <w:rFonts w:hint="eastAsia" w:ascii="宋体" w:hAnsi="宋体"/>
                <w:sz w:val="24"/>
                <w:szCs w:val="24"/>
              </w:rPr>
            </w:pPr>
            <w:r>
              <w:rPr>
                <w:rFonts w:hint="eastAsia"/>
                <w:sz w:val="24"/>
                <w:szCs w:val="24"/>
                <w:lang w:eastAsia="zh-CN"/>
              </w:rPr>
              <w:t>500000</w:t>
            </w:r>
            <w:r>
              <w:rPr>
                <w:rFonts w:hint="eastAsia"/>
                <w:sz w:val="24"/>
                <w:szCs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noWrap w:val="0"/>
            <w:vAlign w:val="center"/>
          </w:tcPr>
          <w:p>
            <w:pPr>
              <w:widowControl/>
              <w:spacing w:line="24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p>
        </w:tc>
        <w:tc>
          <w:tcPr>
            <w:tcW w:w="1833" w:type="dxa"/>
            <w:noWrap w:val="0"/>
            <w:vAlign w:val="center"/>
          </w:tcPr>
          <w:p>
            <w:pPr>
              <w:pStyle w:val="4"/>
              <w:kinsoku w:val="0"/>
              <w:overflowPunct w:val="0"/>
              <w:spacing w:beforeLines="0" w:afterLines="0" w:line="240" w:lineRule="auto"/>
              <w:ind w:right="212" w:rightChars="0"/>
              <w:jc w:val="center"/>
              <w:rPr>
                <w:rFonts w:hint="eastAsia" w:ascii="宋体" w:hAnsi="宋体" w:eastAsia="宋体" w:cs="宋体"/>
                <w:sz w:val="24"/>
                <w:szCs w:val="24"/>
                <w:lang w:val="en-US" w:eastAsia="zh-CN"/>
              </w:rPr>
            </w:pPr>
            <w:r>
              <w:rPr>
                <w:rFonts w:hint="default" w:ascii="宋体" w:hAnsi="宋体" w:eastAsia="宋体" w:cs="宋体"/>
                <w:sz w:val="24"/>
                <w:szCs w:val="24"/>
                <w:lang w:eastAsia="zh-CN"/>
              </w:rPr>
              <w:t>豫政采(2)20240479-3</w:t>
            </w:r>
          </w:p>
        </w:tc>
        <w:tc>
          <w:tcPr>
            <w:tcW w:w="3768" w:type="dxa"/>
            <w:noWrap w:val="0"/>
            <w:vAlign w:val="center"/>
          </w:tcPr>
          <w:p>
            <w:pPr>
              <w:pStyle w:val="4"/>
              <w:kinsoku w:val="0"/>
              <w:overflowPunct w:val="0"/>
              <w:spacing w:beforeLines="0" w:afterLines="0" w:line="240" w:lineRule="auto"/>
              <w:ind w:right="212" w:rightChars="0"/>
              <w:jc w:val="center"/>
              <w:rPr>
                <w:rFonts w:hint="eastAsia" w:ascii="宋体" w:hAnsi="宋体"/>
                <w:sz w:val="24"/>
                <w:szCs w:val="24"/>
                <w:lang w:eastAsia="zh-CN"/>
              </w:rPr>
            </w:pPr>
            <w:r>
              <w:rPr>
                <w:rFonts w:hint="eastAsia"/>
                <w:sz w:val="24"/>
                <w:szCs w:val="24"/>
                <w:lang w:eastAsia="zh-CN"/>
              </w:rPr>
              <w:t>郑州大学河南省医药科学研究院人才学科平台实验仪器设备(一期)采购项目包三</w:t>
            </w:r>
          </w:p>
        </w:tc>
        <w:tc>
          <w:tcPr>
            <w:tcW w:w="1464" w:type="dxa"/>
            <w:noWrap w:val="0"/>
            <w:vAlign w:val="center"/>
          </w:tcPr>
          <w:p>
            <w:pPr>
              <w:pStyle w:val="4"/>
              <w:kinsoku w:val="0"/>
              <w:overflowPunct w:val="0"/>
              <w:spacing w:beforeLines="0" w:afterLines="0" w:line="240" w:lineRule="auto"/>
              <w:ind w:right="36" w:rightChars="0"/>
              <w:jc w:val="center"/>
              <w:rPr>
                <w:rFonts w:hint="eastAsia" w:ascii="宋体" w:hAnsi="宋体"/>
                <w:sz w:val="24"/>
                <w:szCs w:val="24"/>
              </w:rPr>
            </w:pPr>
            <w:r>
              <w:rPr>
                <w:rFonts w:hint="eastAsia"/>
                <w:sz w:val="24"/>
                <w:szCs w:val="24"/>
                <w:lang w:eastAsia="zh-CN"/>
              </w:rPr>
              <w:t>500000</w:t>
            </w:r>
            <w:r>
              <w:rPr>
                <w:rFonts w:hint="eastAsia"/>
                <w:sz w:val="24"/>
                <w:szCs w:val="24"/>
                <w:lang w:val="en-US" w:eastAsia="zh-CN"/>
              </w:rPr>
              <w:t>.00</w:t>
            </w:r>
          </w:p>
        </w:tc>
        <w:tc>
          <w:tcPr>
            <w:tcW w:w="1349" w:type="dxa"/>
            <w:noWrap w:val="0"/>
            <w:vAlign w:val="center"/>
          </w:tcPr>
          <w:p>
            <w:pPr>
              <w:pStyle w:val="4"/>
              <w:kinsoku w:val="0"/>
              <w:overflowPunct w:val="0"/>
              <w:spacing w:beforeLines="0" w:afterLines="0" w:line="240" w:lineRule="auto"/>
              <w:jc w:val="center"/>
              <w:rPr>
                <w:rFonts w:hint="eastAsia" w:ascii="宋体" w:hAnsi="宋体"/>
                <w:sz w:val="24"/>
                <w:szCs w:val="24"/>
              </w:rPr>
            </w:pPr>
            <w:r>
              <w:rPr>
                <w:rFonts w:hint="eastAsia"/>
                <w:sz w:val="24"/>
                <w:szCs w:val="24"/>
                <w:lang w:eastAsia="zh-CN"/>
              </w:rPr>
              <w:t>500000</w:t>
            </w:r>
            <w:r>
              <w:rPr>
                <w:rFonts w:hint="eastAsia"/>
                <w:sz w:val="24"/>
                <w:szCs w:val="24"/>
                <w:lang w:val="en-US" w:eastAsia="zh-CN"/>
              </w:rPr>
              <w:t>.00</w:t>
            </w:r>
          </w:p>
        </w:tc>
      </w:tr>
    </w:tbl>
    <w:p>
      <w:pPr>
        <w:ind w:firstLine="480" w:firstLineChars="200"/>
        <w:rPr>
          <w:rFonts w:ascii="宋体" w:hAnsi="宋体"/>
        </w:rPr>
      </w:pPr>
      <w:r>
        <w:rPr>
          <w:rFonts w:hint="eastAsia" w:ascii="宋体" w:hAnsi="宋体"/>
        </w:rPr>
        <w:t>5、采购需求（包括但不限于标的的名称、数量、简要技术需求或服务要求等）</w:t>
      </w:r>
    </w:p>
    <w:p>
      <w:pPr>
        <w:widowControl/>
        <w:ind w:firstLine="960" w:firstLineChars="400"/>
        <w:jc w:val="left"/>
        <w:rPr>
          <w:rFonts w:hint="eastAsia" w:ascii="宋体" w:hAnsi="宋体"/>
        </w:rPr>
      </w:pPr>
      <w:r>
        <w:rPr>
          <w:rFonts w:hint="eastAsia" w:ascii="宋体" w:hAnsi="宋体"/>
        </w:rPr>
        <w:t>5.1</w:t>
      </w:r>
      <w:r>
        <w:rPr>
          <w:rFonts w:hint="eastAsia" w:ascii="宋体" w:hAnsi="宋体"/>
          <w:lang w:val="en-US" w:eastAsia="zh-CN"/>
        </w:rPr>
        <w:t>采购内容：设备的采购、安装、调试、验收、培训、质保期内外服务、与货物有关的运输和保险及其他伴随服务等，具体标的清单如下：</w:t>
      </w:r>
    </w:p>
    <w:p>
      <w:pPr>
        <w:widowControl/>
        <w:ind w:firstLine="960" w:firstLineChars="400"/>
        <w:jc w:val="left"/>
        <w:rPr>
          <w:rFonts w:hint="eastAsia" w:ascii="宋体" w:hAnsi="宋体"/>
          <w:lang w:val="en-US" w:eastAsia="zh-CN"/>
        </w:rPr>
      </w:pPr>
      <w:r>
        <w:rPr>
          <w:rFonts w:hint="eastAsia" w:ascii="宋体" w:hAnsi="宋体"/>
          <w:lang w:val="en-US" w:eastAsia="zh-CN"/>
        </w:rPr>
        <w:t>包一：蛋白纯化仪、层析柜、二氧化碳摇床、超声波细胞粉碎机、</w:t>
      </w:r>
      <w:r>
        <w:rPr>
          <w:rFonts w:hint="eastAsia" w:ascii="宋体" w:hAnsi="宋体" w:cs="宋体"/>
          <w:szCs w:val="21"/>
        </w:rPr>
        <w:t>低温超高压连续流细胞破碎仪</w:t>
      </w:r>
      <w:r>
        <w:rPr>
          <w:rFonts w:hint="eastAsia" w:ascii="宋体" w:hAnsi="宋体"/>
          <w:lang w:val="en-US" w:eastAsia="zh-CN"/>
        </w:rPr>
        <w:t>；</w:t>
      </w:r>
    </w:p>
    <w:p>
      <w:pPr>
        <w:widowControl/>
        <w:ind w:firstLine="960" w:firstLineChars="400"/>
        <w:jc w:val="left"/>
        <w:rPr>
          <w:rFonts w:hint="eastAsia" w:ascii="宋体" w:hAnsi="宋体"/>
          <w:lang w:val="en-US" w:eastAsia="zh-CN"/>
        </w:rPr>
      </w:pPr>
      <w:r>
        <w:rPr>
          <w:rFonts w:hint="eastAsia" w:ascii="宋体" w:hAnsi="宋体"/>
          <w:lang w:val="en-US" w:eastAsia="zh-CN"/>
        </w:rPr>
        <w:t>包二：多功能酶联免疫分析仪、倒置荧光显微镜、超纯水仪、</w:t>
      </w:r>
      <w:r>
        <w:rPr>
          <w:rFonts w:hint="eastAsia" w:ascii="宋体" w:hAnsi="宋体"/>
          <w:highlight w:val="none"/>
          <w:lang w:val="en-US" w:eastAsia="zh-CN"/>
        </w:rPr>
        <w:t>医用低温保存箱(-80℃)、医用低温保存箱（-20℃）、医用冷藏箱</w:t>
      </w:r>
      <w:r>
        <w:rPr>
          <w:rFonts w:hint="eastAsia" w:ascii="宋体" w:hAnsi="宋体"/>
          <w:lang w:val="en-US" w:eastAsia="zh-CN"/>
        </w:rPr>
        <w:t>；</w:t>
      </w:r>
    </w:p>
    <w:p>
      <w:pPr>
        <w:widowControl/>
        <w:ind w:firstLine="960" w:firstLineChars="400"/>
        <w:jc w:val="left"/>
        <w:rPr>
          <w:rFonts w:ascii="宋体" w:hAnsi="宋体"/>
        </w:rPr>
      </w:pPr>
      <w:r>
        <w:rPr>
          <w:rFonts w:hint="eastAsia" w:ascii="宋体" w:hAnsi="宋体"/>
          <w:lang w:val="en-US" w:eastAsia="zh-CN"/>
        </w:rPr>
        <w:t>包三：生物安全柜、二氧化碳培养箱、紫外可见分光光度计、多功能电穿孔系统。</w:t>
      </w:r>
    </w:p>
    <w:p>
      <w:pPr>
        <w:ind w:firstLine="960" w:firstLineChars="400"/>
        <w:rPr>
          <w:rFonts w:hint="default" w:ascii="宋体" w:hAnsi="宋体"/>
          <w:lang w:val="en-US"/>
        </w:rPr>
      </w:pPr>
      <w:r>
        <w:rPr>
          <w:rFonts w:hint="eastAsia" w:ascii="宋体" w:hAnsi="宋体"/>
          <w:lang w:val="en-US" w:eastAsia="zh-CN"/>
        </w:rPr>
        <w:t>5.2资金来源：财政资金，已落实。</w:t>
      </w:r>
    </w:p>
    <w:p>
      <w:pPr>
        <w:ind w:firstLine="960" w:firstLineChars="400"/>
        <w:rPr>
          <w:rFonts w:hint="eastAsia" w:ascii="宋体" w:hAnsi="宋体"/>
        </w:rPr>
      </w:pPr>
      <w:r>
        <w:rPr>
          <w:rFonts w:hint="eastAsia" w:ascii="宋体" w:hAnsi="宋体"/>
          <w:lang w:val="en-US" w:eastAsia="zh-CN"/>
        </w:rPr>
        <w:t>5.3标包划分：本项目共分为3个包段</w:t>
      </w:r>
    </w:p>
    <w:p>
      <w:pPr>
        <w:ind w:firstLine="960" w:firstLineChars="400"/>
        <w:rPr>
          <w:rFonts w:hint="eastAsia" w:ascii="宋体" w:hAnsi="宋体"/>
        </w:rPr>
      </w:pPr>
      <w:r>
        <w:rPr>
          <w:rFonts w:hint="eastAsia" w:ascii="宋体" w:hAnsi="宋体"/>
        </w:rPr>
        <w:t>5.</w:t>
      </w:r>
      <w:r>
        <w:rPr>
          <w:rFonts w:hint="eastAsia" w:ascii="宋体" w:hAnsi="宋体"/>
          <w:lang w:val="en-US" w:eastAsia="zh-CN"/>
        </w:rPr>
        <w:t>4</w:t>
      </w:r>
      <w:r>
        <w:rPr>
          <w:rFonts w:hint="eastAsia" w:ascii="宋体" w:hAnsi="宋体" w:cs="宋体"/>
          <w:szCs w:val="21"/>
        </w:rPr>
        <w:t>交货</w:t>
      </w:r>
      <w:r>
        <w:rPr>
          <w:rFonts w:hint="eastAsia" w:ascii="宋体" w:hAnsi="宋体"/>
        </w:rPr>
        <w:t>期：</w:t>
      </w:r>
      <w:r>
        <w:rPr>
          <w:rFonts w:hint="eastAsia" w:ascii="宋体" w:hAnsi="宋体"/>
          <w:lang w:val="en-US" w:eastAsia="zh-CN"/>
        </w:rPr>
        <w:t>30个日历天（安装、调试及培训验收合格）</w:t>
      </w:r>
    </w:p>
    <w:p>
      <w:pPr>
        <w:ind w:left="960" w:leftChars="400" w:firstLine="0" w:firstLineChars="0"/>
        <w:rPr>
          <w:rFonts w:hint="eastAsia" w:ascii="宋体" w:hAnsi="宋体" w:eastAsia="宋体" w:cs="Times New Roman"/>
          <w:lang w:val="en-US" w:eastAsia="zh-CN"/>
        </w:rPr>
      </w:pPr>
      <w:bookmarkStart w:id="0" w:name="_Toc35393622"/>
      <w:bookmarkStart w:id="1" w:name="_Toc28359003"/>
      <w:bookmarkStart w:id="2" w:name="_Toc28359080"/>
      <w:bookmarkStart w:id="3" w:name="_Toc21002"/>
      <w:bookmarkStart w:id="4" w:name="_Toc35393791"/>
      <w:bookmarkStart w:id="5" w:name="_Toc18237"/>
      <w:bookmarkStart w:id="6" w:name="_Toc14361"/>
      <w:r>
        <w:rPr>
          <w:rFonts w:hint="eastAsia" w:ascii="宋体" w:hAnsi="宋体" w:eastAsia="宋体" w:cs="Times New Roman"/>
          <w:lang w:val="en-US" w:eastAsia="zh-CN"/>
        </w:rPr>
        <w:t>5.5质量要求：符合国家、行业标准及采购人的要求。</w:t>
      </w:r>
    </w:p>
    <w:p>
      <w:pPr>
        <w:ind w:left="960" w:leftChars="400" w:firstLine="0" w:firstLineChars="0"/>
        <w:rPr>
          <w:rFonts w:hint="eastAsia" w:ascii="宋体" w:hAnsi="宋体" w:eastAsia="宋体" w:cs="Times New Roman"/>
          <w:lang w:val="en-US" w:eastAsia="zh-CN"/>
        </w:rPr>
      </w:pPr>
      <w:r>
        <w:rPr>
          <w:rFonts w:hint="eastAsia" w:ascii="宋体" w:hAnsi="宋体" w:eastAsia="宋体" w:cs="Times New Roman"/>
          <w:lang w:val="en-US" w:eastAsia="zh-CN"/>
        </w:rPr>
        <w:t>5.6质保期：进口设备质保一年，国产设备质保三年。</w:t>
      </w:r>
    </w:p>
    <w:p>
      <w:pPr>
        <w:ind w:left="960" w:leftChars="400" w:firstLine="0" w:firstLineChars="0"/>
        <w:rPr>
          <w:rFonts w:hint="eastAsia" w:ascii="宋体" w:hAnsi="宋体" w:eastAsia="宋体" w:cs="Times New Roman"/>
          <w:lang w:val="en-US" w:eastAsia="zh-CN"/>
        </w:rPr>
      </w:pPr>
      <w:r>
        <w:rPr>
          <w:rFonts w:hint="eastAsia" w:ascii="宋体" w:hAnsi="宋体" w:eastAsia="宋体" w:cs="Times New Roman"/>
          <w:lang w:val="en-US" w:eastAsia="zh-CN"/>
        </w:rPr>
        <w:t>5.7交货地点：采购人指定地点</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6、</w:t>
      </w:r>
      <w:r>
        <w:rPr>
          <w:rFonts w:hint="eastAsia" w:ascii="宋体" w:hAnsi="宋体" w:eastAsia="宋体" w:cs="Times New Roman"/>
        </w:rPr>
        <w:t>合同履行期限：按合同规定执行</w:t>
      </w:r>
      <w:r>
        <w:rPr>
          <w:rFonts w:hint="eastAsia" w:ascii="宋体" w:hAnsi="宋体" w:eastAsia="宋体" w:cs="Times New Roman"/>
          <w:lang w:eastAsia="zh-CN"/>
        </w:rPr>
        <w:t>。</w:t>
      </w:r>
    </w:p>
    <w:p>
      <w:pPr>
        <w:ind w:firstLine="480" w:firstLineChars="200"/>
        <w:rPr>
          <w:rFonts w:hint="default" w:ascii="宋体" w:hAnsi="宋体" w:eastAsia="宋体" w:cs="Times New Roman"/>
          <w:lang w:val="en-US" w:eastAsia="zh-CN"/>
        </w:rPr>
      </w:pPr>
      <w:r>
        <w:rPr>
          <w:rFonts w:hint="eastAsia" w:ascii="宋体" w:hAnsi="宋体" w:eastAsia="宋体" w:cs="Times New Roman"/>
          <w:lang w:val="en-US" w:eastAsia="zh-CN"/>
        </w:rPr>
        <w:t>7、</w:t>
      </w:r>
      <w:r>
        <w:rPr>
          <w:rFonts w:hint="eastAsia" w:ascii="宋体" w:hAnsi="宋体" w:eastAsia="宋体" w:cs="Times New Roman"/>
        </w:rPr>
        <w:t>本项目</w:t>
      </w:r>
      <w:r>
        <w:rPr>
          <w:rFonts w:hint="eastAsia" w:ascii="宋体" w:hAnsi="宋体" w:eastAsia="宋体" w:cs="Times New Roman"/>
          <w:lang w:val="en-US" w:eastAsia="zh-CN"/>
        </w:rPr>
        <w:t>是否</w:t>
      </w:r>
      <w:r>
        <w:rPr>
          <w:rFonts w:hint="eastAsia" w:ascii="宋体" w:hAnsi="宋体" w:eastAsia="宋体" w:cs="Times New Roman"/>
        </w:rPr>
        <w:t>接受联合体投</w:t>
      </w:r>
      <w:r>
        <w:rPr>
          <w:rFonts w:hint="eastAsia" w:ascii="宋体" w:hAnsi="宋体" w:eastAsia="宋体" w:cs="Times New Roman"/>
          <w:lang w:val="en-US" w:eastAsia="zh-CN"/>
        </w:rPr>
        <w:t>标：否</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8、是否接受进口产品：是</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9.是否专门面向中小企业：否。</w:t>
      </w:r>
    </w:p>
    <w:p>
      <w:pPr>
        <w:rPr>
          <w:rFonts w:ascii="宋体" w:hAnsi="宋体"/>
          <w:b/>
        </w:rPr>
      </w:pPr>
      <w:r>
        <w:rPr>
          <w:rFonts w:hint="eastAsia" w:ascii="宋体" w:hAnsi="宋体"/>
          <w:b/>
        </w:rPr>
        <w:t>二、申请人资格要求：</w:t>
      </w:r>
      <w:bookmarkEnd w:id="0"/>
      <w:bookmarkEnd w:id="1"/>
      <w:bookmarkEnd w:id="2"/>
      <w:bookmarkEnd w:id="3"/>
      <w:bookmarkEnd w:id="4"/>
      <w:bookmarkEnd w:id="5"/>
      <w:bookmarkEnd w:id="6"/>
    </w:p>
    <w:p>
      <w:pPr>
        <w:ind w:firstLine="480" w:firstLineChars="200"/>
        <w:rPr>
          <w:rFonts w:hint="eastAsia" w:ascii="宋体" w:hAnsi="宋体"/>
          <w:lang w:val="en-US" w:eastAsia="zh-CN"/>
        </w:rPr>
      </w:pPr>
      <w:r>
        <w:rPr>
          <w:rFonts w:hint="eastAsia" w:ascii="宋体" w:hAnsi="宋体"/>
          <w:lang w:val="en-US" w:eastAsia="zh-CN"/>
        </w:rPr>
        <w:t>1、满足《中华人民共和国政府采购法》第二十二条规定；</w:t>
      </w:r>
    </w:p>
    <w:p>
      <w:pPr>
        <w:ind w:firstLine="480" w:firstLineChars="200"/>
        <w:rPr>
          <w:rFonts w:hint="eastAsia" w:ascii="宋体" w:hAnsi="宋体"/>
        </w:rPr>
      </w:pPr>
      <w:r>
        <w:rPr>
          <w:rFonts w:hint="eastAsia" w:ascii="宋体" w:hAnsi="宋体"/>
          <w:lang w:val="en-US" w:eastAsia="zh-CN"/>
        </w:rPr>
        <w:t>2、</w:t>
      </w:r>
      <w:r>
        <w:rPr>
          <w:rFonts w:hint="eastAsia" w:ascii="宋体" w:hAnsi="宋体"/>
        </w:rPr>
        <w:t>落实政府采购政策满足的资格要求：</w:t>
      </w:r>
    </w:p>
    <w:p>
      <w:pPr>
        <w:ind w:firstLine="480" w:firstLineChars="200"/>
        <w:rPr>
          <w:rFonts w:hint="eastAsia" w:ascii="宋体" w:hAnsi="宋体"/>
        </w:rPr>
      </w:pPr>
      <w:r>
        <w:rPr>
          <w:rFonts w:hint="eastAsia" w:ascii="宋体" w:hAnsi="宋体"/>
        </w:rPr>
        <w:t>本项目为非专门面向中小企业招标的项目，但本项目落实优先采购节能环保、环境标志性产品、优先采购自主创新产品，落实节约能源、保护环境、扶持不发达地区和少数民族地区，促进中小企业、监狱企业、残疾人福利性企业发展等相关政府采购政策。</w:t>
      </w:r>
    </w:p>
    <w:p>
      <w:pPr>
        <w:ind w:firstLine="480" w:firstLineChars="200"/>
        <w:rPr>
          <w:rFonts w:hint="eastAsia" w:ascii="宋体" w:hAnsi="宋体"/>
        </w:rPr>
      </w:pPr>
      <w:r>
        <w:rPr>
          <w:rFonts w:hint="eastAsia" w:ascii="宋体" w:hAnsi="宋体"/>
          <w:lang w:val="en-US" w:eastAsia="zh-CN"/>
        </w:rPr>
        <w:t>3、</w:t>
      </w:r>
      <w:r>
        <w:rPr>
          <w:rFonts w:hint="eastAsia" w:ascii="宋体" w:hAnsi="宋体"/>
        </w:rPr>
        <w:t>本项目的特定资格要求：</w:t>
      </w:r>
    </w:p>
    <w:p>
      <w:pPr>
        <w:ind w:firstLine="480" w:firstLineChars="200"/>
        <w:rPr>
          <w:rFonts w:hint="eastAsia" w:ascii="宋体" w:hAnsi="宋体"/>
          <w:lang w:val="en-US" w:eastAsia="zh-CN"/>
        </w:rPr>
      </w:pPr>
      <w:r>
        <w:rPr>
          <w:rFonts w:hint="eastAsia" w:ascii="宋体" w:hAnsi="宋体"/>
          <w:lang w:val="en-US" w:eastAsia="zh-CN"/>
        </w:rPr>
        <w:t>3.1满足《中华人民共和国政府采购法》第二十二条规定：</w:t>
      </w:r>
    </w:p>
    <w:p>
      <w:pPr>
        <w:ind w:firstLine="480" w:firstLineChars="200"/>
        <w:rPr>
          <w:rFonts w:hint="eastAsia" w:ascii="宋体" w:hAnsi="宋体"/>
          <w:lang w:val="en-US" w:eastAsia="zh-CN"/>
        </w:rPr>
      </w:pPr>
      <w:r>
        <w:rPr>
          <w:rFonts w:hint="eastAsia" w:ascii="宋体" w:hAnsi="宋体"/>
          <w:lang w:val="en-US" w:eastAsia="zh-CN"/>
        </w:rPr>
        <w:t>3.1.1具有独立承担民事责任的能力(具有有效的营业执照或事业单位法人证书等有效证件)；</w:t>
      </w:r>
    </w:p>
    <w:p>
      <w:pPr>
        <w:ind w:firstLine="480" w:firstLineChars="200"/>
        <w:rPr>
          <w:rFonts w:hint="eastAsia" w:ascii="宋体" w:hAnsi="宋体"/>
          <w:lang w:val="en-US" w:eastAsia="zh-CN"/>
        </w:rPr>
      </w:pPr>
      <w:r>
        <w:rPr>
          <w:rFonts w:hint="eastAsia" w:ascii="宋体" w:hAnsi="宋体"/>
          <w:lang w:val="en-US" w:eastAsia="zh-CN"/>
        </w:rPr>
        <w:t>3.1.2具有良好的商业信誉和健全的财务会计制度</w:t>
      </w:r>
      <w:r>
        <w:rPr>
          <w:rFonts w:hint="eastAsia" w:ascii="宋体" w:hAnsi="宋体"/>
          <w:highlight w:val="none"/>
        </w:rPr>
        <w:t>（提交202</w:t>
      </w:r>
      <w:r>
        <w:rPr>
          <w:rFonts w:hint="eastAsia" w:ascii="宋体" w:hAnsi="宋体"/>
          <w:highlight w:val="none"/>
          <w:lang w:val="en-US" w:eastAsia="zh-CN"/>
        </w:rPr>
        <w:t>3</w:t>
      </w:r>
      <w:r>
        <w:rPr>
          <w:rFonts w:hint="eastAsia" w:ascii="宋体" w:hAnsi="宋体"/>
          <w:highlight w:val="none"/>
        </w:rPr>
        <w:t>年度</w:t>
      </w:r>
      <w:bookmarkStart w:id="7" w:name="_Hlk112137941"/>
      <w:r>
        <w:rPr>
          <w:rFonts w:hint="eastAsia" w:ascii="宋体" w:hAnsi="宋体"/>
          <w:highlight w:val="none"/>
        </w:rPr>
        <w:t>经审验的财务年审报告</w:t>
      </w:r>
      <w:bookmarkEnd w:id="7"/>
      <w:r>
        <w:rPr>
          <w:rFonts w:hint="eastAsia" w:ascii="宋体" w:hAnsi="宋体"/>
          <w:highlight w:val="none"/>
        </w:rPr>
        <w:t>，要求注册会计师签字并加盖会计师印章；成立时间较短不能提供的，提交基本开户银行出具的资信证明）</w:t>
      </w:r>
      <w:r>
        <w:rPr>
          <w:rFonts w:hint="eastAsia" w:ascii="宋体" w:hAnsi="宋体"/>
          <w:lang w:val="en-US" w:eastAsia="zh-CN"/>
        </w:rPr>
        <w:t>；</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3.1.3具有履行合同所必需的设备和专业技术能力(提供承诺书，格式自拟)；</w:t>
      </w:r>
    </w:p>
    <w:p>
      <w:pPr>
        <w:ind w:firstLine="480" w:firstLineChars="200"/>
        <w:rPr>
          <w:rFonts w:hint="eastAsia" w:ascii="宋体" w:hAnsi="宋体"/>
          <w:lang w:val="en-US" w:eastAsia="zh-CN"/>
        </w:rPr>
      </w:pPr>
      <w:r>
        <w:rPr>
          <w:rFonts w:hint="eastAsia" w:ascii="宋体" w:hAnsi="宋体" w:eastAsia="宋体" w:cs="Times New Roman"/>
          <w:lang w:val="en-US" w:eastAsia="zh-CN"/>
        </w:rPr>
        <w:t>3.1.4有依法缴纳税收和社会保障资金的良好记录（提交近三个月以来任意</w:t>
      </w:r>
      <w:r>
        <w:rPr>
          <w:rFonts w:hint="eastAsia" w:ascii="宋体" w:hAnsi="宋体"/>
        </w:rPr>
        <w:t>一个月缴纳税收和社会保险的申报证明材料）</w:t>
      </w:r>
      <w:r>
        <w:rPr>
          <w:rFonts w:hint="eastAsia" w:ascii="宋体" w:hAnsi="宋体"/>
          <w:lang w:val="en-US" w:eastAsia="zh-CN"/>
        </w:rPr>
        <w:t>；</w:t>
      </w:r>
    </w:p>
    <w:p>
      <w:pPr>
        <w:ind w:firstLine="480" w:firstLineChars="200"/>
        <w:rPr>
          <w:rFonts w:hint="eastAsia" w:ascii="宋体" w:hAnsi="宋体"/>
          <w:lang w:val="en-US" w:eastAsia="zh-CN"/>
        </w:rPr>
      </w:pPr>
      <w:r>
        <w:rPr>
          <w:rFonts w:hint="eastAsia" w:ascii="宋体" w:hAnsi="宋体"/>
          <w:lang w:val="en-US" w:eastAsia="zh-CN"/>
        </w:rPr>
        <w:t>3.1.5参加政府采购活动前三年内，在经营活动中没有重大违法记录的声明(提供承诺书，格式自拟)；</w:t>
      </w:r>
    </w:p>
    <w:p>
      <w:pPr>
        <w:ind w:firstLine="480" w:firstLineChars="200"/>
        <w:rPr>
          <w:rFonts w:hint="eastAsia" w:ascii="宋体" w:hAnsi="宋体"/>
          <w:lang w:val="en-US" w:eastAsia="zh-CN"/>
        </w:rPr>
      </w:pPr>
      <w:r>
        <w:rPr>
          <w:rFonts w:hint="eastAsia" w:ascii="宋体" w:hAnsi="宋体"/>
          <w:lang w:val="en-US" w:eastAsia="zh-CN"/>
        </w:rPr>
        <w:t>3.2</w:t>
      </w:r>
      <w:r>
        <w:rPr>
          <w:rFonts w:hint="eastAsia" w:ascii="宋体" w:hAnsi="宋体"/>
          <w:bCs/>
          <w:highlight w:val="none"/>
        </w:rPr>
        <w:t>根据《关于在政府采购活动中查询及使用信用记录有关问题的通知》(财库[2016]125号)的规定，对列入失信被执行人（查询渠道：中国执行信息公开网）、重大税收违法失信主体（查询渠道：信用中国）、</w:t>
      </w:r>
      <w:r>
        <w:rPr>
          <w:highlight w:val="none"/>
        </w:rPr>
        <w:fldChar w:fldCharType="begin"/>
      </w:r>
      <w:r>
        <w:rPr>
          <w:highlight w:val="none"/>
        </w:rPr>
        <w:instrText xml:space="preserve"> HYPERLINK "http://www.ccgp.gov.cn/search/cr/" \o "政府采购严重违法失信行为记录名单" </w:instrText>
      </w:r>
      <w:r>
        <w:rPr>
          <w:highlight w:val="none"/>
        </w:rPr>
        <w:fldChar w:fldCharType="separate"/>
      </w:r>
      <w:r>
        <w:rPr>
          <w:rFonts w:hint="eastAsia" w:ascii="宋体" w:hAnsi="宋体"/>
          <w:bCs/>
          <w:highlight w:val="none"/>
        </w:rPr>
        <w:t>政府采购严重违法失信行为记录名单</w:t>
      </w:r>
      <w:r>
        <w:rPr>
          <w:rFonts w:hint="eastAsia" w:ascii="宋体" w:hAnsi="宋体"/>
          <w:bCs/>
          <w:highlight w:val="none"/>
        </w:rPr>
        <w:fldChar w:fldCharType="end"/>
      </w:r>
      <w:r>
        <w:rPr>
          <w:rFonts w:hint="eastAsia" w:ascii="宋体" w:hAnsi="宋体"/>
          <w:bCs/>
          <w:highlight w:val="none"/>
        </w:rPr>
        <w:t>（查询渠道：中国政府采购网）拒绝参与本项目政府采购活动，（注：代理机构在资格审查环节对所有供应商信用记录进行查询，记录以代理机构开标登录网站查询结果为准，并将查询结果截图打印存档，若查询到供应商有相关负面信息的，则该供应商为无效供应商。）</w:t>
      </w:r>
    </w:p>
    <w:p>
      <w:pPr>
        <w:ind w:firstLine="480" w:firstLineChars="200"/>
        <w:rPr>
          <w:rFonts w:hint="eastAsia" w:ascii="宋体" w:hAnsi="宋体"/>
          <w:lang w:val="en-US" w:eastAsia="zh-CN"/>
        </w:rPr>
      </w:pPr>
      <w:r>
        <w:rPr>
          <w:rFonts w:hint="eastAsia" w:ascii="宋体" w:hAnsi="宋体"/>
          <w:lang w:val="en-US" w:eastAsia="zh-CN"/>
        </w:rPr>
        <w:t>3.3单位负责人为同一人或存在控股、管理关系的不同单位，不得同时参加本项目的谈判。（提供加盖供应商公章的“国家企业信用信息公示系统”中公示的公司信息、股东或投资人信息）。</w:t>
      </w:r>
    </w:p>
    <w:p>
      <w:pPr>
        <w:rPr>
          <w:b/>
        </w:rPr>
      </w:pPr>
      <w:r>
        <w:rPr>
          <w:rFonts w:hint="eastAsia"/>
          <w:b/>
        </w:rPr>
        <w:t>三、获取采购文件：</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1.时间：2024年5月15日至2024年5月17日，每天上午00:00至12:00，下午12:00至23:59（北京时间，法定节假日除外。）</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2.地点：河南省公共资源交易中心（http://www.hnggzy.net）</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3.方式：登录“河南省公共资源交易中心（http://www.hnggzy.net）”，凭企业身份认证锁（CA密钥）下载谈判文件。市场主体需要完成信息登记及CA数字证书办理，才能通过河南省公共资源交易平台参与交易活动，具体办理事宜请查阅河南省公共资源交易中心网站“办事指南”。</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4.售价：0元</w:t>
      </w:r>
    </w:p>
    <w:p>
      <w:pPr>
        <w:rPr>
          <w:b/>
        </w:rPr>
      </w:pPr>
      <w:r>
        <w:rPr>
          <w:rFonts w:hint="eastAsia"/>
          <w:b/>
        </w:rPr>
        <w:t>四、响应文件提交</w:t>
      </w:r>
    </w:p>
    <w:p>
      <w:pPr>
        <w:ind w:firstLine="480" w:firstLineChars="200"/>
        <w:rPr>
          <w:rFonts w:ascii="宋体" w:hAnsi="宋体" w:cs="宋体"/>
        </w:rPr>
      </w:pPr>
      <w:bookmarkStart w:id="8" w:name="OLE_LINK5"/>
      <w:bookmarkStart w:id="9" w:name="_Toc376934269"/>
      <w:r>
        <w:rPr>
          <w:rFonts w:hint="eastAsia" w:ascii="宋体" w:hAnsi="宋体" w:cs="宋体"/>
        </w:rPr>
        <w:t>1.时间：202</w:t>
      </w:r>
      <w:r>
        <w:rPr>
          <w:rFonts w:hint="eastAsia" w:ascii="宋体" w:hAnsi="宋体" w:cs="宋体"/>
          <w:lang w:val="en-US" w:eastAsia="zh-CN"/>
        </w:rPr>
        <w:t>4</w:t>
      </w:r>
      <w:r>
        <w:rPr>
          <w:rFonts w:hint="eastAsia" w:ascii="宋体" w:hAnsi="宋体" w:cs="宋体"/>
        </w:rPr>
        <w:t>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22</w:t>
      </w:r>
      <w:r>
        <w:rPr>
          <w:rFonts w:hint="eastAsia" w:ascii="宋体" w:hAnsi="宋体" w:cs="宋体"/>
        </w:rPr>
        <w:t>日</w:t>
      </w:r>
      <w:r>
        <w:rPr>
          <w:rFonts w:hint="eastAsia" w:ascii="宋体" w:hAnsi="宋体" w:cs="宋体"/>
          <w:lang w:val="en-US" w:eastAsia="zh-CN"/>
        </w:rPr>
        <w:t>0</w:t>
      </w:r>
      <w:r>
        <w:rPr>
          <w:rFonts w:hint="eastAsia" w:ascii="宋体" w:hAnsi="宋体" w:cs="宋体"/>
        </w:rPr>
        <w:t>9时00分（北京时间）</w:t>
      </w:r>
    </w:p>
    <w:p>
      <w:pPr>
        <w:ind w:firstLine="480" w:firstLineChars="200"/>
        <w:rPr>
          <w:rFonts w:ascii="宋体" w:hAnsi="宋体" w:cs="宋体"/>
          <w:kern w:val="0"/>
        </w:rPr>
      </w:pPr>
      <w:r>
        <w:rPr>
          <w:rFonts w:hint="eastAsia" w:ascii="宋体" w:hAnsi="宋体" w:cs="宋体"/>
        </w:rPr>
        <w:t>2.地点：</w:t>
      </w:r>
      <w:bookmarkEnd w:id="8"/>
      <w:r>
        <w:rPr>
          <w:rFonts w:hint="eastAsia" w:ascii="宋体" w:hAnsi="宋体" w:cs="宋体"/>
          <w:lang w:val="en-US" w:eastAsia="zh-CN"/>
        </w:rPr>
        <w:t>加密电子响应文件须在响应文件递交截止时间前上传至河南省公共资源交易中心交易系统；加密电子响应文件逾期上传，采购人不予受理。</w:t>
      </w:r>
    </w:p>
    <w:p>
      <w:pPr>
        <w:rPr>
          <w:b/>
        </w:rPr>
      </w:pPr>
      <w:r>
        <w:rPr>
          <w:rFonts w:hint="eastAsia"/>
          <w:b/>
        </w:rPr>
        <w:t>五、响应文件开启</w:t>
      </w:r>
    </w:p>
    <w:bookmarkEnd w:id="9"/>
    <w:p>
      <w:pPr>
        <w:ind w:firstLine="480" w:firstLineChars="200"/>
        <w:rPr>
          <w:rFonts w:ascii="宋体" w:hAnsi="宋体" w:cs="宋体"/>
        </w:rPr>
      </w:pPr>
      <w:r>
        <w:rPr>
          <w:rFonts w:hint="eastAsia" w:ascii="宋体" w:hAnsi="宋体" w:cs="宋体"/>
        </w:rPr>
        <w:t>1.时间：202</w:t>
      </w:r>
      <w:r>
        <w:rPr>
          <w:rFonts w:hint="eastAsia" w:ascii="宋体" w:hAnsi="宋体" w:cs="宋体"/>
          <w:lang w:val="en-US" w:eastAsia="zh-CN"/>
        </w:rPr>
        <w:t>4</w:t>
      </w:r>
      <w:r>
        <w:rPr>
          <w:rFonts w:hint="eastAsia" w:ascii="宋体" w:hAnsi="宋体" w:cs="宋体"/>
        </w:rPr>
        <w:t>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22</w:t>
      </w:r>
      <w:r>
        <w:rPr>
          <w:rFonts w:hint="eastAsia" w:ascii="宋体" w:hAnsi="宋体" w:cs="宋体"/>
        </w:rPr>
        <w:t>日</w:t>
      </w:r>
      <w:r>
        <w:rPr>
          <w:rFonts w:hint="eastAsia" w:ascii="宋体" w:hAnsi="宋体" w:cs="宋体"/>
          <w:lang w:val="en-US" w:eastAsia="zh-CN"/>
        </w:rPr>
        <w:t>0</w:t>
      </w:r>
      <w:r>
        <w:rPr>
          <w:rFonts w:hint="eastAsia" w:ascii="宋体" w:hAnsi="宋体" w:cs="宋体"/>
        </w:rPr>
        <w:t>9时00分（北京时间）</w:t>
      </w:r>
    </w:p>
    <w:p>
      <w:pPr>
        <w:ind w:firstLine="480" w:firstLineChars="200"/>
        <w:rPr>
          <w:rFonts w:ascii="宋体" w:hAnsi="宋体" w:cs="宋体"/>
          <w:kern w:val="0"/>
        </w:rPr>
      </w:pPr>
      <w:r>
        <w:rPr>
          <w:rFonts w:hint="eastAsia" w:ascii="宋体" w:hAnsi="宋体" w:cs="宋体"/>
        </w:rPr>
        <w:t>2.地点：</w:t>
      </w:r>
      <w:r>
        <w:rPr>
          <w:rFonts w:hint="eastAsia" w:ascii="宋体" w:hAnsi="宋体" w:cs="宋体"/>
          <w:kern w:val="0"/>
        </w:rPr>
        <w:t>河南省公共资源交易中心远程</w:t>
      </w:r>
      <w:r>
        <w:rPr>
          <w:rFonts w:hint="eastAsia" w:ascii="宋体" w:hAnsi="宋体" w:cs="宋体"/>
          <w:kern w:val="0"/>
          <w:highlight w:val="none"/>
        </w:rPr>
        <w:t>开标室(</w:t>
      </w:r>
      <w:r>
        <w:rPr>
          <w:rFonts w:hint="eastAsia" w:ascii="宋体" w:hAnsi="宋体" w:cs="宋体"/>
          <w:kern w:val="0"/>
          <w:highlight w:val="none"/>
          <w:lang w:val="en-US" w:eastAsia="zh-CN"/>
        </w:rPr>
        <w:t>七</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color w:val="000000"/>
          <w:shd w:val="clear" w:color="auto" w:fill="FFFFFF"/>
        </w:rPr>
        <w:t>，郑州市经二路12号（经二路与纬四路向南50米路西）</w:t>
      </w:r>
      <w:r>
        <w:rPr>
          <w:rFonts w:hint="eastAsia" w:ascii="宋体" w:hAnsi="宋体" w:cs="宋体"/>
          <w:kern w:val="0"/>
        </w:rPr>
        <w:t>。</w:t>
      </w:r>
    </w:p>
    <w:p>
      <w:pPr>
        <w:rPr>
          <w:b/>
        </w:rPr>
      </w:pPr>
      <w:r>
        <w:rPr>
          <w:rFonts w:hint="eastAsia"/>
          <w:b/>
        </w:rPr>
        <w:t>六、发布公告的媒介及招标公告期限</w:t>
      </w:r>
    </w:p>
    <w:p>
      <w:pPr>
        <w:ind w:firstLine="480" w:firstLineChars="200"/>
      </w:pPr>
      <w:r>
        <w:rPr>
          <w:rFonts w:hint="eastAsia" w:ascii="宋体" w:hAnsi="宋体"/>
        </w:rPr>
        <w:t>本次采购公告在《河南省政府采购网》、《河南省公共资源交易中心门户网》及《河南英典工程管理有限公司》网站上发布。</w:t>
      </w:r>
      <w:bookmarkStart w:id="10" w:name="_Toc35393795"/>
      <w:bookmarkStart w:id="11" w:name="_Toc35393626"/>
      <w:bookmarkStart w:id="12" w:name="_Toc376934270"/>
      <w:r>
        <w:rPr>
          <w:rFonts w:hint="eastAsia"/>
        </w:rPr>
        <w:t>公告期限为三个工作日。</w:t>
      </w:r>
    </w:p>
    <w:p>
      <w:pPr>
        <w:rPr>
          <w:rFonts w:ascii="宋体" w:hAnsi="宋体" w:cs="宋体"/>
          <w:b/>
        </w:rPr>
      </w:pPr>
      <w:r>
        <w:rPr>
          <w:rFonts w:hint="eastAsia" w:ascii="宋体" w:hAnsi="宋体"/>
          <w:b/>
        </w:rPr>
        <w:t>七、</w:t>
      </w:r>
      <w:r>
        <w:rPr>
          <w:rFonts w:hint="eastAsia" w:ascii="宋体" w:hAnsi="宋体" w:cs="宋体"/>
          <w:b/>
        </w:rPr>
        <w:t>其他补充事宜</w:t>
      </w:r>
      <w:bookmarkEnd w:id="10"/>
      <w:bookmarkEnd w:id="11"/>
    </w:p>
    <w:bookmarkEnd w:id="12"/>
    <w:p>
      <w:pPr>
        <w:wordWrap w:val="0"/>
        <w:ind w:firstLine="480" w:firstLineChars="200"/>
        <w:rPr>
          <w:rFonts w:hint="eastAsia"/>
          <w:lang w:val="en-US" w:eastAsia="zh-CN"/>
        </w:rPr>
      </w:pPr>
      <w:r>
        <w:rPr>
          <w:rFonts w:hint="eastAsia"/>
          <w:lang w:val="en-US" w:eastAsia="zh-CN"/>
        </w:rPr>
        <w:t>1、本项目采用“远程不见面”开标方式,网址（www.hnggzy.net）。供应商应当在谈判文件确定的响应文件递交截止时间前,登录远程开标大厅，在线准时参加谈判活动并进行文件解密、答疑澄清等。</w:t>
      </w:r>
    </w:p>
    <w:p>
      <w:pPr>
        <w:wordWrap w:val="0"/>
        <w:ind w:firstLine="480" w:firstLineChars="200"/>
        <w:rPr>
          <w:rFonts w:hint="eastAsia"/>
        </w:rPr>
      </w:pPr>
      <w:r>
        <w:rPr>
          <w:rFonts w:hint="eastAsia"/>
          <w:lang w:val="en-US" w:eastAsia="zh-CN"/>
        </w:rPr>
        <w:t>2、不见面服务的具体事宜请查阅河南省公共资源交易中心网站“办事指南”专区的《河南省公共资源交易中心交易平台使用手册》。</w:t>
      </w:r>
    </w:p>
    <w:p>
      <w:pPr>
        <w:rPr>
          <w:rFonts w:ascii="宋体" w:hAnsi="宋体" w:cs="宋体"/>
          <w:b/>
        </w:rPr>
      </w:pPr>
      <w:r>
        <w:rPr>
          <w:rFonts w:hint="eastAsia" w:ascii="宋体" w:hAnsi="宋体" w:cs="宋体"/>
          <w:b/>
        </w:rPr>
        <w:t>八、凡对本次采购提出询问，请按照以下方式联系</w:t>
      </w:r>
    </w:p>
    <w:p>
      <w:pPr>
        <w:ind w:firstLine="480" w:firstLineChars="200"/>
        <w:rPr>
          <w:rFonts w:ascii="宋体" w:hAnsi="宋体" w:cs="宋体"/>
        </w:rPr>
      </w:pPr>
      <w:r>
        <w:rPr>
          <w:rFonts w:hint="eastAsia" w:ascii="宋体" w:hAnsi="宋体" w:cs="宋体"/>
        </w:rPr>
        <w:t>1.采购人信息</w:t>
      </w:r>
    </w:p>
    <w:p>
      <w:pPr>
        <w:ind w:firstLine="480" w:firstLineChars="200"/>
        <w:rPr>
          <w:rFonts w:hint="eastAsia" w:ascii="宋体" w:hAnsi="宋体" w:cs="宋体"/>
        </w:rPr>
      </w:pPr>
      <w:r>
        <w:rPr>
          <w:rFonts w:hint="eastAsia" w:ascii="宋体" w:hAnsi="宋体" w:cs="宋体"/>
        </w:rPr>
        <w:t>名称：郑州大学</w:t>
      </w:r>
    </w:p>
    <w:p>
      <w:pPr>
        <w:ind w:firstLine="480" w:firstLineChars="200"/>
        <w:rPr>
          <w:rFonts w:hint="eastAsia" w:ascii="宋体" w:hAnsi="宋体" w:cs="宋体"/>
        </w:rPr>
      </w:pPr>
      <w:r>
        <w:rPr>
          <w:rFonts w:hint="eastAsia" w:ascii="宋体" w:hAnsi="宋体" w:cs="宋体"/>
        </w:rPr>
        <w:t>地址：郑州市高新区科学大道100号</w:t>
      </w:r>
    </w:p>
    <w:p>
      <w:pPr>
        <w:ind w:firstLine="480" w:firstLineChars="200"/>
        <w:rPr>
          <w:rFonts w:hint="eastAsia" w:ascii="宋体" w:hAnsi="宋体" w:cs="宋体"/>
          <w:lang w:eastAsia="zh-CN"/>
        </w:rPr>
      </w:pPr>
      <w:r>
        <w:rPr>
          <w:rFonts w:hint="eastAsia" w:ascii="宋体" w:hAnsi="宋体" w:cs="宋体"/>
        </w:rPr>
        <w:t>联系人：</w:t>
      </w:r>
      <w:r>
        <w:rPr>
          <w:rFonts w:hint="eastAsia" w:ascii="宋体" w:hAnsi="宋体" w:cs="宋体"/>
          <w:lang w:eastAsia="zh-CN"/>
        </w:rPr>
        <w:t>尚老师</w:t>
      </w:r>
    </w:p>
    <w:p>
      <w:pPr>
        <w:ind w:firstLine="480" w:firstLineChars="200"/>
        <w:rPr>
          <w:rFonts w:hint="eastAsia" w:ascii="宋体" w:hAnsi="宋体" w:cs="宋体"/>
          <w:lang w:val="en-US" w:eastAsia="zh-CN"/>
        </w:rPr>
      </w:pPr>
      <w:r>
        <w:rPr>
          <w:rFonts w:hint="eastAsia" w:ascii="宋体" w:hAnsi="宋体" w:cs="宋体"/>
        </w:rPr>
        <w:t>电 话：0371-6</w:t>
      </w:r>
      <w:r>
        <w:rPr>
          <w:rFonts w:hint="eastAsia" w:ascii="宋体" w:hAnsi="宋体" w:cs="宋体"/>
          <w:lang w:val="en-US" w:eastAsia="zh-CN"/>
        </w:rPr>
        <w:t>6658223</w:t>
      </w:r>
    </w:p>
    <w:p>
      <w:pPr>
        <w:ind w:firstLine="480" w:firstLineChars="200"/>
        <w:rPr>
          <w:rFonts w:ascii="宋体" w:hAnsi="宋体" w:cs="宋体"/>
        </w:rPr>
      </w:pPr>
      <w:r>
        <w:rPr>
          <w:rFonts w:ascii="宋体" w:hAnsi="宋体" w:cs="宋体"/>
        </w:rPr>
        <w:t>2.采购代理机构信息（如有）</w:t>
      </w:r>
    </w:p>
    <w:p>
      <w:pPr>
        <w:ind w:firstLine="480" w:firstLineChars="200"/>
        <w:rPr>
          <w:rFonts w:ascii="宋体" w:hAnsi="宋体" w:cs="宋体"/>
        </w:rPr>
      </w:pPr>
      <w:r>
        <w:rPr>
          <w:rFonts w:hint="eastAsia" w:ascii="宋体" w:hAnsi="宋体" w:cs="宋体"/>
        </w:rPr>
        <w:t>名称：河南英典工程管理有限公司</w:t>
      </w:r>
    </w:p>
    <w:p>
      <w:pPr>
        <w:ind w:firstLine="480" w:firstLineChars="200"/>
        <w:rPr>
          <w:rFonts w:ascii="宋体" w:hAnsi="宋体" w:cs="宋体"/>
        </w:rPr>
      </w:pPr>
      <w:r>
        <w:rPr>
          <w:rFonts w:hint="eastAsia" w:ascii="宋体" w:hAnsi="宋体" w:cs="宋体"/>
        </w:rPr>
        <w:t>地址：郑州市金水区经三路红专路交叉口中信银行（思达数码大厦）9楼</w:t>
      </w:r>
    </w:p>
    <w:p>
      <w:pPr>
        <w:ind w:firstLine="480" w:firstLineChars="200"/>
        <w:rPr>
          <w:rFonts w:ascii="宋体" w:hAnsi="宋体" w:cs="宋体"/>
        </w:rPr>
      </w:pPr>
      <w:r>
        <w:rPr>
          <w:rFonts w:hint="eastAsia" w:ascii="宋体" w:hAnsi="宋体" w:cs="宋体"/>
        </w:rPr>
        <w:t>联系人：何克念</w:t>
      </w:r>
    </w:p>
    <w:p>
      <w:pPr>
        <w:ind w:firstLine="480" w:firstLineChars="200"/>
        <w:rPr>
          <w:rFonts w:hint="eastAsia" w:ascii="宋体" w:hAnsi="宋体" w:cs="宋体"/>
        </w:rPr>
      </w:pPr>
      <w:r>
        <w:rPr>
          <w:rFonts w:hint="eastAsia" w:ascii="宋体" w:hAnsi="宋体" w:cs="宋体"/>
        </w:rPr>
        <w:t>联系方式：17839900520</w:t>
      </w:r>
    </w:p>
    <w:p>
      <w:pPr>
        <w:ind w:firstLine="480" w:firstLineChars="200"/>
        <w:rPr>
          <w:rFonts w:ascii="宋体" w:hAnsi="宋体" w:cs="宋体"/>
        </w:rPr>
      </w:pPr>
      <w:r>
        <w:rPr>
          <w:rFonts w:hint="eastAsia" w:ascii="宋体" w:hAnsi="宋体" w:cs="宋体"/>
        </w:rPr>
        <w:t>3.项目联系方式</w:t>
      </w:r>
    </w:p>
    <w:p>
      <w:pPr>
        <w:ind w:firstLine="480" w:firstLineChars="200"/>
        <w:rPr>
          <w:rFonts w:ascii="宋体" w:hAnsi="宋体" w:cs="宋体"/>
        </w:rPr>
      </w:pPr>
      <w:r>
        <w:rPr>
          <w:rFonts w:hint="eastAsia" w:ascii="宋体" w:hAnsi="宋体" w:cs="宋体"/>
        </w:rPr>
        <w:t>联系人：何克念</w:t>
      </w:r>
    </w:p>
    <w:p>
      <w:pPr>
        <w:ind w:firstLine="480" w:firstLineChars="200"/>
        <w:rPr>
          <w:rFonts w:ascii="宋体" w:hAnsi="宋体" w:cs="宋体"/>
        </w:rPr>
      </w:pPr>
      <w:r>
        <w:rPr>
          <w:rFonts w:hint="eastAsia" w:ascii="宋体" w:hAnsi="宋体" w:cs="宋体"/>
        </w:rPr>
        <w:t>联系方式：17839900520</w:t>
      </w:r>
    </w:p>
    <w:p>
      <w:pPr>
        <w:ind w:firstLine="480" w:firstLineChars="200"/>
        <w:jc w:val="right"/>
        <w:rPr>
          <w:rFonts w:hint="eastAsia"/>
        </w:rPr>
      </w:pPr>
      <w:r>
        <w:rPr>
          <w:rFonts w:hint="eastAsia" w:ascii="宋体" w:hAnsi="宋体"/>
        </w:rPr>
        <w:t>202</w:t>
      </w:r>
      <w:r>
        <w:rPr>
          <w:rFonts w:hint="eastAsia" w:ascii="宋体" w:hAnsi="宋体"/>
          <w:lang w:val="en-US" w:eastAsia="zh-CN"/>
        </w:rPr>
        <w:t>4</w:t>
      </w:r>
      <w:r>
        <w:rPr>
          <w:rFonts w:hint="eastAsia" w:ascii="宋体" w:hAnsi="宋体"/>
        </w:rPr>
        <w:t>年</w:t>
      </w:r>
      <w:r>
        <w:rPr>
          <w:rFonts w:hint="eastAsia" w:ascii="宋体" w:hAnsi="宋体"/>
          <w:lang w:val="en-US" w:eastAsia="zh-CN"/>
        </w:rPr>
        <w:t>5</w:t>
      </w:r>
      <w:r>
        <w:rPr>
          <w:rFonts w:hint="eastAsia" w:ascii="宋体" w:hAnsi="宋体"/>
        </w:rPr>
        <w:t>月</w:t>
      </w:r>
      <w:r>
        <w:rPr>
          <w:rFonts w:hint="eastAsia" w:ascii="宋体" w:hAnsi="宋体"/>
          <w:lang w:val="en-US" w:eastAsia="zh-CN"/>
        </w:rPr>
        <w:t>14</w:t>
      </w:r>
      <w:r>
        <w:rPr>
          <w:rFonts w:hint="eastAsia" w:ascii="宋体" w:hAnsi="宋体"/>
        </w:rPr>
        <w:t>日</w:t>
      </w:r>
    </w:p>
    <w:p>
      <w:bookmarkStart w:id="13" w:name="_GoBack"/>
      <w:bookmarkEnd w:id="1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ZWNjNWY0MDIzMWE1MWNmODQzMGQxZjA5NDRlYzEifQ=="/>
  </w:docVars>
  <w:rsids>
    <w:rsidRoot w:val="5BC40A9E"/>
    <w:rsid w:val="5BC40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2024-05-14T02:14:00Z</dcterms:created>
  <dc:creator>百合</dc:creator>
  <cp:lastModifiedBy>百合</cp:lastModifiedBy>
  <dcterms:modified xsi:type="dcterms:W3CDTF">2024-05-14T02:14:18Z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74E3FD3B86444CF393E373D900E5FD90_11</vt:lpwstr>
  </property>
</Properties>
</file>